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1" behindDoc="1" locked="0" layoutInCell="1" allowOverlap="1" wp14:anchorId="1E137005" wp14:editId="6ABD2277">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6E72A7F4" w14:textId="77777777" w:rsidR="003E4CCB" w:rsidRPr="00347388" w:rsidRDefault="003E4CCB" w:rsidP="003E4CCB">
      <w:pPr>
        <w:rPr>
          <w:rFonts w:cs="Arial"/>
          <w:b/>
          <w:sz w:val="28"/>
          <w:lang w:eastAsia="cs-CZ"/>
        </w:rPr>
      </w:pPr>
    </w:p>
    <w:p w14:paraId="3FA22F8E" w14:textId="77777777" w:rsidR="003E4CCB" w:rsidRPr="00347388" w:rsidRDefault="003E4CCB" w:rsidP="003E4CCB">
      <w:pPr>
        <w:spacing w:line="360" w:lineRule="auto"/>
        <w:rPr>
          <w:rFonts w:cs="Arial"/>
          <w:sz w:val="20"/>
          <w:lang w:eastAsia="cs-CZ"/>
        </w:rPr>
      </w:pPr>
      <w:r w:rsidRPr="00347388">
        <w:rPr>
          <w:rFonts w:cs="Arial"/>
          <w:sz w:val="20"/>
          <w:lang w:eastAsia="cs-CZ"/>
        </w:rPr>
        <w:t>Vypracoval:</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1DB0A39E"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4327C6">
        <w:rPr>
          <w:rFonts w:cs="Arial"/>
          <w:sz w:val="20"/>
          <w:lang w:eastAsia="cs-CZ"/>
        </w:rPr>
        <w:t>06</w:t>
      </w:r>
      <w:r w:rsidRPr="00E25071">
        <w:rPr>
          <w:rFonts w:cs="Arial"/>
          <w:sz w:val="20"/>
          <w:lang w:eastAsia="cs-CZ"/>
        </w:rPr>
        <w:t xml:space="preserve">. </w:t>
      </w:r>
      <w:r w:rsidR="00541EA6">
        <w:rPr>
          <w:rFonts w:cs="Arial"/>
          <w:sz w:val="20"/>
          <w:lang w:eastAsia="cs-CZ"/>
        </w:rPr>
        <w:t>0</w:t>
      </w:r>
      <w:r w:rsidR="004327C6">
        <w:rPr>
          <w:rFonts w:cs="Arial"/>
          <w:sz w:val="20"/>
          <w:lang w:eastAsia="cs-CZ"/>
        </w:rPr>
        <w:t>6</w:t>
      </w:r>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Predkladá:</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3DDBFAFF"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4327C6">
        <w:rPr>
          <w:rFonts w:cs="Arial"/>
          <w:sz w:val="20"/>
          <w:lang w:eastAsia="cs-CZ"/>
        </w:rPr>
        <w:t>06</w:t>
      </w:r>
      <w:r w:rsidRPr="00E25071">
        <w:rPr>
          <w:rFonts w:cs="Arial"/>
          <w:sz w:val="20"/>
          <w:lang w:eastAsia="cs-CZ"/>
        </w:rPr>
        <w:t>. </w:t>
      </w:r>
      <w:r w:rsidR="00541EA6" w:rsidRPr="00E25071">
        <w:rPr>
          <w:rFonts w:cs="Arial"/>
          <w:sz w:val="20"/>
          <w:lang w:eastAsia="cs-CZ"/>
        </w:rPr>
        <w:t>0</w:t>
      </w:r>
      <w:r w:rsidR="004327C6">
        <w:rPr>
          <w:rFonts w:cs="Arial"/>
          <w:sz w:val="20"/>
          <w:lang w:eastAsia="cs-CZ"/>
        </w:rPr>
        <w:t>6</w:t>
      </w:r>
      <w:r w:rsidRPr="00E25071">
        <w:rPr>
          <w:rFonts w:cs="Arial"/>
          <w:sz w:val="20"/>
          <w:lang w:eastAsia="cs-CZ"/>
        </w:rPr>
        <w:t>. 201</w:t>
      </w:r>
      <w:r w:rsidR="00E25071" w:rsidRPr="00E25071">
        <w:rPr>
          <w:rFonts w:cs="Arial"/>
          <w:sz w:val="20"/>
          <w:lang w:eastAsia="cs-CZ"/>
        </w:rPr>
        <w:t>7</w:t>
      </w:r>
    </w:p>
    <w:p w14:paraId="3FB3B4FA" w14:textId="77777777" w:rsidR="003E4CCB" w:rsidRPr="00347388" w:rsidRDefault="003E4CCB"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2BECD3E7"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4327C6">
        <w:rPr>
          <w:rFonts w:cs="Arial"/>
          <w:sz w:val="20"/>
          <w:lang w:eastAsia="cs-CZ"/>
        </w:rPr>
        <w:t>06</w:t>
      </w:r>
      <w:r w:rsidRPr="00E25071">
        <w:rPr>
          <w:rFonts w:cs="Arial"/>
          <w:sz w:val="20"/>
          <w:lang w:eastAsia="cs-CZ"/>
        </w:rPr>
        <w:t>. </w:t>
      </w:r>
      <w:r w:rsidR="00541EA6" w:rsidRPr="00E25071">
        <w:rPr>
          <w:rFonts w:cs="Arial"/>
          <w:sz w:val="20"/>
          <w:lang w:eastAsia="cs-CZ"/>
        </w:rPr>
        <w:t>0</w:t>
      </w:r>
      <w:r w:rsidR="004327C6">
        <w:rPr>
          <w:rFonts w:cs="Arial"/>
          <w:sz w:val="20"/>
          <w:lang w:eastAsia="cs-CZ"/>
        </w:rPr>
        <w:t>6</w:t>
      </w:r>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2574EFFF"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r w:rsidR="00541EA6">
        <w:rPr>
          <w:rFonts w:cs="Arial"/>
          <w:sz w:val="18"/>
          <w:lang w:eastAsia="cs-CZ"/>
        </w:rPr>
        <w:t>0</w:t>
      </w:r>
      <w:r w:rsidRPr="00E25071">
        <w:rPr>
          <w:rFonts w:cs="Arial"/>
          <w:sz w:val="18"/>
          <w:lang w:eastAsia="cs-CZ"/>
        </w:rPr>
        <w:t xml:space="preserve">; platnosť od: </w:t>
      </w:r>
      <w:r w:rsidR="004327C6">
        <w:rPr>
          <w:rFonts w:cs="Arial"/>
          <w:sz w:val="18"/>
          <w:lang w:eastAsia="cs-CZ"/>
        </w:rPr>
        <w:t>06</w:t>
      </w:r>
      <w:r w:rsidRPr="00E25071">
        <w:rPr>
          <w:rFonts w:cs="Arial"/>
          <w:sz w:val="18"/>
          <w:lang w:eastAsia="cs-CZ"/>
        </w:rPr>
        <w:t xml:space="preserve">. </w:t>
      </w:r>
      <w:r w:rsidR="00541EA6" w:rsidRPr="00E25071">
        <w:rPr>
          <w:rFonts w:cs="Arial"/>
          <w:sz w:val="18"/>
          <w:lang w:eastAsia="cs-CZ"/>
        </w:rPr>
        <w:t>0</w:t>
      </w:r>
      <w:r w:rsidR="004327C6">
        <w:rPr>
          <w:rFonts w:cs="Arial"/>
          <w:sz w:val="18"/>
          <w:lang w:eastAsia="cs-CZ"/>
        </w:rPr>
        <w:t>6</w:t>
      </w:r>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r w:rsidR="004327C6">
        <w:rPr>
          <w:rFonts w:cs="Arial"/>
          <w:sz w:val="18"/>
          <w:lang w:eastAsia="cs-CZ"/>
        </w:rPr>
        <w:t>06</w:t>
      </w:r>
      <w:r w:rsidRPr="00E25071">
        <w:rPr>
          <w:rFonts w:cs="Arial"/>
          <w:sz w:val="18"/>
          <w:lang w:eastAsia="cs-CZ"/>
        </w:rPr>
        <w:t xml:space="preserve">. </w:t>
      </w:r>
      <w:r w:rsidR="00541EA6" w:rsidRPr="00E25071">
        <w:rPr>
          <w:rFonts w:cs="Arial"/>
          <w:sz w:val="18"/>
          <w:lang w:eastAsia="cs-CZ"/>
        </w:rPr>
        <w:t>0</w:t>
      </w:r>
      <w:r w:rsidR="004327C6">
        <w:rPr>
          <w:rFonts w:cs="Arial"/>
          <w:sz w:val="18"/>
          <w:lang w:eastAsia="cs-CZ"/>
        </w:rPr>
        <w:t>6</w:t>
      </w:r>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52260B">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52260B">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52260B">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1EE9C112" w14:textId="21A6B525" w:rsidR="00BF74B6" w:rsidRPr="00E135DC" w:rsidRDefault="0052260B">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08A090A8" w14:textId="13800EC2" w:rsidR="00BF74B6" w:rsidRPr="00E135DC" w:rsidRDefault="0052260B">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24</w:t>
        </w:r>
        <w:r w:rsidR="00BF74B6" w:rsidRPr="00E135DC">
          <w:rPr>
            <w:rFonts w:cs="Arial"/>
            <w:noProof/>
            <w:webHidden/>
            <w:sz w:val="19"/>
            <w:szCs w:val="19"/>
          </w:rPr>
          <w:fldChar w:fldCharType="end"/>
        </w:r>
      </w:hyperlink>
    </w:p>
    <w:p w14:paraId="12DA2A97" w14:textId="32C2D270" w:rsidR="00BF74B6" w:rsidRPr="00E135DC" w:rsidRDefault="0052260B">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26</w:t>
        </w:r>
        <w:r w:rsidR="00BF74B6" w:rsidRPr="00E135DC">
          <w:rPr>
            <w:rFonts w:cs="Arial"/>
            <w:noProof/>
            <w:webHidden/>
            <w:sz w:val="19"/>
            <w:szCs w:val="19"/>
          </w:rPr>
          <w:fldChar w:fldCharType="end"/>
        </w:r>
      </w:hyperlink>
    </w:p>
    <w:p w14:paraId="56A0A71D" w14:textId="770FE1BC"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6C37EF94" w14:textId="3753DB57" w:rsidR="00BF74B6" w:rsidRPr="00E135DC" w:rsidRDefault="0052260B">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38EEFE1F" w14:textId="27125DC4" w:rsidR="00BF74B6" w:rsidRPr="00E135DC" w:rsidRDefault="0052260B">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28</w:t>
        </w:r>
        <w:r w:rsidR="00BF74B6" w:rsidRPr="00E135DC">
          <w:rPr>
            <w:rFonts w:cs="Arial"/>
            <w:noProof/>
            <w:webHidden/>
            <w:sz w:val="19"/>
            <w:szCs w:val="19"/>
          </w:rPr>
          <w:fldChar w:fldCharType="end"/>
        </w:r>
      </w:hyperlink>
    </w:p>
    <w:p w14:paraId="4397C0C1" w14:textId="06A3F4C9" w:rsidR="00BF74B6" w:rsidRPr="00E135DC" w:rsidRDefault="0052260B">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2FCA8F9F" w14:textId="5AF2688F" w:rsidR="00BF74B6" w:rsidRPr="00E135DC" w:rsidRDefault="0052260B">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08F482A2" w14:textId="5D3AD42A" w:rsidR="00BF74B6" w:rsidRPr="00E135DC" w:rsidRDefault="0052260B">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53</w:t>
        </w:r>
        <w:r w:rsidR="00BF74B6" w:rsidRPr="00E135DC">
          <w:rPr>
            <w:rFonts w:cs="Arial"/>
            <w:noProof/>
            <w:webHidden/>
            <w:sz w:val="19"/>
            <w:szCs w:val="19"/>
          </w:rPr>
          <w:fldChar w:fldCharType="end"/>
        </w:r>
      </w:hyperlink>
    </w:p>
    <w:p w14:paraId="27443959" w14:textId="34EA31A4" w:rsidR="00BF74B6" w:rsidRPr="00E135DC" w:rsidRDefault="0052260B">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54</w:t>
        </w:r>
        <w:r w:rsidR="00BF74B6" w:rsidRPr="00E135DC">
          <w:rPr>
            <w:rFonts w:cs="Arial"/>
            <w:noProof/>
            <w:webHidden/>
            <w:sz w:val="19"/>
            <w:szCs w:val="19"/>
          </w:rPr>
          <w:fldChar w:fldCharType="end"/>
        </w:r>
      </w:hyperlink>
    </w:p>
    <w:p w14:paraId="7F58E385" w14:textId="177F2703" w:rsidR="00BF74B6" w:rsidRPr="00E135DC" w:rsidRDefault="0052260B">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61</w:t>
        </w:r>
        <w:r w:rsidR="00BF74B6" w:rsidRPr="00E135DC">
          <w:rPr>
            <w:rFonts w:cs="Arial"/>
            <w:noProof/>
            <w:webHidden/>
            <w:sz w:val="19"/>
            <w:szCs w:val="19"/>
          </w:rPr>
          <w:fldChar w:fldCharType="end"/>
        </w:r>
      </w:hyperlink>
    </w:p>
    <w:p w14:paraId="101D5D81" w14:textId="1477AAC0" w:rsidR="00BF74B6" w:rsidRPr="00E135DC" w:rsidRDefault="0052260B">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74</w:t>
        </w:r>
        <w:r w:rsidR="00BF74B6" w:rsidRPr="00E135DC">
          <w:rPr>
            <w:rFonts w:cs="Arial"/>
            <w:noProof/>
            <w:webHidden/>
            <w:sz w:val="19"/>
            <w:szCs w:val="19"/>
          </w:rPr>
          <w:fldChar w:fldCharType="end"/>
        </w:r>
      </w:hyperlink>
    </w:p>
    <w:p w14:paraId="5198DED3" w14:textId="4DDE4FFB"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79</w:t>
        </w:r>
        <w:r w:rsidR="00BF74B6" w:rsidRPr="00E135DC">
          <w:rPr>
            <w:rFonts w:cs="Arial"/>
            <w:noProof/>
            <w:webHidden/>
            <w:sz w:val="19"/>
            <w:szCs w:val="19"/>
          </w:rPr>
          <w:fldChar w:fldCharType="end"/>
        </w:r>
      </w:hyperlink>
    </w:p>
    <w:p w14:paraId="70A930FF" w14:textId="04086E0B"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0"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80</w:t>
        </w:r>
        <w:r w:rsidR="00BF74B6" w:rsidRPr="00E135DC">
          <w:rPr>
            <w:rFonts w:cs="Arial"/>
            <w:noProof/>
            <w:webHidden/>
            <w:sz w:val="19"/>
            <w:szCs w:val="19"/>
          </w:rPr>
          <w:fldChar w:fldCharType="end"/>
        </w:r>
      </w:hyperlink>
    </w:p>
    <w:p w14:paraId="25C99981" w14:textId="52724834" w:rsidR="00BF74B6" w:rsidRPr="00E135DC" w:rsidRDefault="0052260B">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81</w:t>
        </w:r>
        <w:r w:rsidR="00BF74B6" w:rsidRPr="00E135DC">
          <w:rPr>
            <w:rFonts w:cs="Arial"/>
            <w:noProof/>
            <w:webHidden/>
            <w:sz w:val="19"/>
            <w:szCs w:val="19"/>
          </w:rPr>
          <w:fldChar w:fldCharType="end"/>
        </w:r>
      </w:hyperlink>
    </w:p>
    <w:p w14:paraId="4212AEDF" w14:textId="0548D32D" w:rsidR="00BF74B6" w:rsidRPr="00E135DC" w:rsidRDefault="0052260B">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61CB8603" w14:textId="55DA287B" w:rsidR="00BF74B6" w:rsidRPr="00E135DC" w:rsidRDefault="0052260B">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57E11B99" w14:textId="79A9C6C8" w:rsidR="00BF74B6" w:rsidRPr="00E135DC" w:rsidRDefault="0052260B">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71EC95BE" w14:textId="2D4FED4C" w:rsidR="00BF74B6" w:rsidRPr="00E135DC" w:rsidRDefault="0052260B">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88</w:t>
        </w:r>
        <w:r w:rsidR="00BF74B6" w:rsidRPr="00E135DC">
          <w:rPr>
            <w:rFonts w:cs="Arial"/>
            <w:noProof/>
            <w:webHidden/>
            <w:sz w:val="19"/>
            <w:szCs w:val="19"/>
          </w:rPr>
          <w:fldChar w:fldCharType="end"/>
        </w:r>
      </w:hyperlink>
    </w:p>
    <w:p w14:paraId="1C39A013" w14:textId="6E4F44B0" w:rsidR="00BF74B6" w:rsidRPr="00E135DC" w:rsidRDefault="0052260B">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102</w:t>
        </w:r>
        <w:r w:rsidR="00BF74B6" w:rsidRPr="00E135DC">
          <w:rPr>
            <w:rFonts w:cs="Arial"/>
            <w:noProof/>
            <w:webHidden/>
            <w:sz w:val="19"/>
            <w:szCs w:val="19"/>
          </w:rPr>
          <w:fldChar w:fldCharType="end"/>
        </w:r>
      </w:hyperlink>
    </w:p>
    <w:p w14:paraId="69BEAABA" w14:textId="720B0A19" w:rsidR="00BF74B6" w:rsidRPr="00E135DC" w:rsidRDefault="0052260B">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105</w:t>
        </w:r>
        <w:r w:rsidR="00BF74B6" w:rsidRPr="00E135DC">
          <w:rPr>
            <w:rFonts w:cs="Arial"/>
            <w:noProof/>
            <w:webHidden/>
            <w:sz w:val="19"/>
            <w:szCs w:val="19"/>
          </w:rPr>
          <w:fldChar w:fldCharType="end"/>
        </w:r>
      </w:hyperlink>
    </w:p>
    <w:p w14:paraId="52A899C1" w14:textId="2C8F4C28" w:rsidR="00BF74B6" w:rsidRPr="00E135DC" w:rsidRDefault="0052260B">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114</w:t>
        </w:r>
        <w:r w:rsidR="00BF74B6" w:rsidRPr="00E135DC">
          <w:rPr>
            <w:rFonts w:cs="Arial"/>
            <w:noProof/>
            <w:webHidden/>
            <w:sz w:val="19"/>
            <w:szCs w:val="19"/>
          </w:rPr>
          <w:fldChar w:fldCharType="end"/>
        </w:r>
      </w:hyperlink>
    </w:p>
    <w:p w14:paraId="291F6871" w14:textId="106963BD" w:rsidR="00BF74B6" w:rsidRPr="00E135DC" w:rsidRDefault="0052260B">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118</w:t>
        </w:r>
        <w:r w:rsidR="00BF74B6" w:rsidRPr="00E135DC">
          <w:rPr>
            <w:rFonts w:cs="Arial"/>
            <w:noProof/>
            <w:webHidden/>
            <w:sz w:val="19"/>
            <w:szCs w:val="19"/>
          </w:rPr>
          <w:fldChar w:fldCharType="end"/>
        </w:r>
      </w:hyperlink>
    </w:p>
    <w:p w14:paraId="34F67D09" w14:textId="36240EE5"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6F278EC5" w14:textId="202C41C2"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5B9D06DD" w14:textId="205C3ABD" w:rsidR="00BF74B6" w:rsidRPr="00E135DC" w:rsidRDefault="0052260B">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321D2A52" w14:textId="0D462C72"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23ED640E" w14:textId="5823C557" w:rsidR="00BF74B6" w:rsidRPr="00E135DC" w:rsidRDefault="0052260B">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130</w:t>
        </w:r>
        <w:r w:rsidR="00BF74B6" w:rsidRPr="00E135DC">
          <w:rPr>
            <w:rFonts w:cs="Arial"/>
            <w:noProof/>
            <w:webHidden/>
            <w:sz w:val="19"/>
            <w:szCs w:val="19"/>
          </w:rPr>
          <w:fldChar w:fldCharType="end"/>
        </w:r>
      </w:hyperlink>
    </w:p>
    <w:p w14:paraId="652445E0" w14:textId="6F566FB9" w:rsidR="00BF74B6" w:rsidRPr="00E135DC" w:rsidRDefault="0052260B">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137</w:t>
        </w:r>
        <w:r w:rsidR="00BF74B6" w:rsidRPr="00E135DC">
          <w:rPr>
            <w:rFonts w:cs="Arial"/>
            <w:noProof/>
            <w:webHidden/>
            <w:sz w:val="19"/>
            <w:szCs w:val="19"/>
          </w:rPr>
          <w:fldChar w:fldCharType="end"/>
        </w:r>
      </w:hyperlink>
    </w:p>
    <w:p w14:paraId="3B998595" w14:textId="6208F33B" w:rsidR="00BF74B6" w:rsidRPr="00E135DC" w:rsidRDefault="0052260B">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40636367"/>
      <w:r w:rsidRPr="0073389C">
        <w:rPr>
          <w:lang w:val="sk-SK"/>
        </w:rPr>
        <w:t>Definícia pojmov</w:t>
      </w:r>
      <w:bookmarkEnd w:id="9"/>
      <w:bookmarkEnd w:id="10"/>
      <w:bookmarkEnd w:id="1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w:t>
      </w:r>
      <w:r w:rsidRPr="0073389C">
        <w:rPr>
          <w:rFonts w:cs="Arial"/>
          <w:szCs w:val="19"/>
          <w:lang w:val="sk-SK"/>
        </w:rPr>
        <w:lastRenderedPageBreak/>
        <w:t>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 xml:space="preserve">pokladnice, najmä centralizáciu riadenia verejných financií, </w:t>
      </w:r>
      <w:r w:rsidRPr="0073389C">
        <w:rPr>
          <w:rFonts w:cs="Arial"/>
          <w:szCs w:val="19"/>
          <w:lang w:val="sk-SK"/>
        </w:rPr>
        <w:lastRenderedPageBreak/>
        <w:t>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2" w:name="_Toc410907847"/>
      <w:bookmarkStart w:id="13" w:name="_Toc440372857"/>
      <w:bookmarkStart w:id="14" w:name="_Toc440636368"/>
      <w:r>
        <w:rPr>
          <w:lang w:val="sk-SK"/>
        </w:rPr>
        <w:lastRenderedPageBreak/>
        <w:t>Použité s</w:t>
      </w:r>
      <w:r w:rsidR="00AE5A8F" w:rsidRPr="0073389C">
        <w:rPr>
          <w:lang w:val="sk-SK"/>
        </w:rPr>
        <w:t>kratky</w:t>
      </w:r>
      <w:bookmarkEnd w:id="12"/>
      <w:bookmarkEnd w:id="13"/>
      <w:bookmarkEnd w:id="1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5" w:name="_Toc440372858"/>
      <w:bookmarkStart w:id="16" w:name="_Toc440636369"/>
      <w:r w:rsidRPr="0073389C">
        <w:rPr>
          <w:lang w:val="sk-SK"/>
        </w:rPr>
        <w:lastRenderedPageBreak/>
        <w:t>Legislatíva</w:t>
      </w:r>
      <w:bookmarkEnd w:id="15"/>
      <w:bookmarkEnd w:id="1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440636370"/>
      <w:r w:rsidRPr="0073389C">
        <w:rPr>
          <w:rFonts w:ascii="Arial" w:hAnsi="Arial"/>
          <w:lang w:val="sk-SK"/>
        </w:rPr>
        <w:lastRenderedPageBreak/>
        <w:t>Realizácia projektov</w:t>
      </w:r>
      <w:bookmarkEnd w:id="17"/>
      <w:bookmarkEnd w:id="18"/>
      <w:bookmarkEnd w:id="19"/>
    </w:p>
    <w:p w14:paraId="7A55CE40"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440636371"/>
      <w:r w:rsidRPr="0073389C">
        <w:rPr>
          <w:lang w:val="sk-SK"/>
        </w:rPr>
        <w:t>Všeobecné informácie k realizácii projektov</w:t>
      </w:r>
      <w:bookmarkEnd w:id="20"/>
      <w:bookmarkEnd w:id="21"/>
      <w:bookmarkEnd w:id="2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440636372"/>
      <w:r w:rsidRPr="0073389C">
        <w:rPr>
          <w:lang w:val="sk-SK"/>
        </w:rPr>
        <w:t>Všeobecné informácie</w:t>
      </w:r>
      <w:bookmarkEnd w:id="23"/>
      <w:bookmarkEnd w:id="24"/>
      <w:bookmarkEnd w:id="25"/>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440636373"/>
      <w:r w:rsidRPr="0073389C">
        <w:rPr>
          <w:lang w:val="sk-SK"/>
        </w:rPr>
        <w:t>Na čo nezabudnúť po podpise zmluvy</w:t>
      </w:r>
      <w:bookmarkEnd w:id="26"/>
      <w:bookmarkEnd w:id="27"/>
      <w:bookmarkEnd w:id="28"/>
    </w:p>
    <w:p w14:paraId="7A55CE47" w14:textId="7DDA5293"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lastRenderedPageBreak/>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w:t>
      </w:r>
      <w:r w:rsidR="00110014" w:rsidRPr="0073389C">
        <w:lastRenderedPageBreak/>
        <w:t xml:space="preserve">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440636374"/>
      <w:r w:rsidRPr="0073389C">
        <w:rPr>
          <w:lang w:val="sk-SK"/>
        </w:rPr>
        <w:t>Monitorovanie projektu</w:t>
      </w:r>
      <w:bookmarkEnd w:id="29"/>
      <w:bookmarkEnd w:id="30"/>
      <w:bookmarkEnd w:id="3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5D941A6E"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 xml:space="preserve">V procese monitorovania môže byť projekt sledovaný aj prostredníctvom ďalších informácií v súvislosti s realizáciou projektu, ktoré bude prijímateľ povinný uvádzať v monitorovacích správach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6DE9BEFB" w14:textId="77777777" w:rsidR="00594863" w:rsidRPr="0073389C" w:rsidRDefault="00594863" w:rsidP="00AE0D10">
      <w:pPr>
        <w:pStyle w:val="Bulletslevel1"/>
        <w:numPr>
          <w:ilvl w:val="0"/>
          <w:numId w:val="0"/>
        </w:numPr>
        <w:spacing w:after="120" w:line="288" w:lineRule="auto"/>
        <w:ind w:left="567"/>
        <w:jc w:val="both"/>
        <w:rPr>
          <w:szCs w:val="19"/>
          <w:lang w:val="sk-SK"/>
        </w:rPr>
      </w:pPr>
    </w:p>
    <w:p w14:paraId="7A55CE64" w14:textId="77777777" w:rsidR="002F32E4" w:rsidRPr="0073389C" w:rsidRDefault="00E83090" w:rsidP="009A78AB">
      <w:pPr>
        <w:numPr>
          <w:ilvl w:val="0"/>
          <w:numId w:val="30"/>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lastRenderedPageBreak/>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9A78AB">
      <w:pPr>
        <w:pStyle w:val="Bulletslevel2"/>
        <w:numPr>
          <w:ilvl w:val="0"/>
          <w:numId w:val="80"/>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9A78AB">
      <w:pPr>
        <w:pStyle w:val="Bulletslevel1"/>
        <w:numPr>
          <w:ilvl w:val="1"/>
          <w:numId w:val="81"/>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9A78AB">
      <w:pPr>
        <w:pStyle w:val="Bulletslevel1"/>
        <w:numPr>
          <w:ilvl w:val="1"/>
          <w:numId w:val="81"/>
        </w:numPr>
        <w:rPr>
          <w:lang w:val="sk-SK"/>
        </w:rPr>
      </w:pPr>
      <w:r w:rsidRPr="0073389C">
        <w:rPr>
          <w:lang w:val="sk-SK"/>
        </w:rPr>
        <w:t xml:space="preserve">aktuálne hodnoty ukazovateľov; </w:t>
      </w:r>
    </w:p>
    <w:p w14:paraId="7A55CE78" w14:textId="77777777" w:rsidR="00274ECC" w:rsidRPr="0073389C" w:rsidRDefault="00274ECC" w:rsidP="009A78AB">
      <w:pPr>
        <w:pStyle w:val="Bulletslevel1"/>
        <w:numPr>
          <w:ilvl w:val="1"/>
          <w:numId w:val="81"/>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lastRenderedPageBreak/>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32619164" w14:textId="77777777" w:rsidR="00F651CD" w:rsidRDefault="00F651CD" w:rsidP="00F651CD">
      <w:pPr>
        <w:pStyle w:val="Default"/>
        <w:jc w:val="both"/>
        <w:rPr>
          <w:rFonts w:ascii="Arial" w:hAnsi="Arial"/>
          <w:color w:val="auto"/>
          <w:sz w:val="19"/>
          <w:lang w:val="sk-SK"/>
        </w:rPr>
      </w:pPr>
    </w:p>
    <w:p w14:paraId="7A55CE7C" w14:textId="50DE31F8"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32" w:name="_Toc440372864"/>
      <w:bookmarkStart w:id="33"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2"/>
      <w:bookmarkEnd w:id="33"/>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4" w:name="_Toc440372865"/>
      <w:bookmarkStart w:id="35" w:name="_Toc440636376"/>
      <w:r w:rsidRPr="0073389C">
        <w:rPr>
          <w:lang w:val="sk-SK"/>
        </w:rPr>
        <w:t>Charakter zmien a spôsob posudzovania zmien</w:t>
      </w:r>
      <w:bookmarkEnd w:id="34"/>
      <w:bookmarkEnd w:id="35"/>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lastRenderedPageBreak/>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AB2DF3">
      <w:pPr>
        <w:pStyle w:val="Odsekzoznamu"/>
        <w:numPr>
          <w:ilvl w:val="0"/>
          <w:numId w:val="10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317C7">
      <w:pPr>
        <w:numPr>
          <w:ilvl w:val="0"/>
          <w:numId w:val="41"/>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FD2BDF">
      <w:pPr>
        <w:numPr>
          <w:ilvl w:val="0"/>
          <w:numId w:val="41"/>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9A78AB">
      <w:pPr>
        <w:numPr>
          <w:ilvl w:val="0"/>
          <w:numId w:val="41"/>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9A78AB">
      <w:pPr>
        <w:numPr>
          <w:ilvl w:val="0"/>
          <w:numId w:val="41"/>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9A78AB">
      <w:pPr>
        <w:numPr>
          <w:ilvl w:val="0"/>
          <w:numId w:val="41"/>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033F4A">
      <w:pPr>
        <w:numPr>
          <w:ilvl w:val="0"/>
          <w:numId w:val="41"/>
        </w:numPr>
        <w:spacing w:before="120" w:after="120" w:line="288" w:lineRule="auto"/>
        <w:ind w:left="851" w:hanging="284"/>
        <w:jc w:val="both"/>
        <w:rPr>
          <w:bCs/>
          <w:lang w:eastAsia="cs-CZ"/>
        </w:rPr>
      </w:pPr>
      <w:r w:rsidRPr="00033F4A">
        <w:rPr>
          <w:bCs/>
          <w:lang w:eastAsia="cs-CZ"/>
        </w:rPr>
        <w:lastRenderedPageBreak/>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6" w:name="_Toc410907854"/>
      <w:bookmarkStart w:id="37" w:name="_Toc440372866"/>
      <w:bookmarkStart w:id="38" w:name="_Toc440636377"/>
      <w:r w:rsidRPr="0073389C">
        <w:rPr>
          <w:lang w:val="sk-SK"/>
        </w:rPr>
        <w:t>Administrácia zmenového konania</w:t>
      </w:r>
      <w:bookmarkEnd w:id="36"/>
      <w:bookmarkEnd w:id="37"/>
      <w:bookmarkEnd w:id="38"/>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lastRenderedPageBreak/>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lastRenderedPageBreak/>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39" w:name="_Toc410031665"/>
      <w:bookmarkStart w:id="40"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35D3AD67" w:rsidR="00563905" w:rsidRDefault="0016783A" w:rsidP="009B5B97">
      <w:pPr>
        <w:autoSpaceDE w:val="0"/>
        <w:autoSpaceDN w:val="0"/>
        <w:adjustRightInd w:val="0"/>
        <w:spacing w:before="120" w:after="120" w:line="288" w:lineRule="auto"/>
        <w:jc w:val="both"/>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1" w:name="_Toc440372867"/>
      <w:bookmarkStart w:id="42" w:name="_Toc440636378"/>
      <w:r w:rsidRPr="0073389C">
        <w:rPr>
          <w:lang w:val="sk-SK"/>
        </w:rPr>
        <w:t>Ukončenie zmluvného vzťahu</w:t>
      </w:r>
      <w:bookmarkEnd w:id="39"/>
      <w:bookmarkEnd w:id="40"/>
      <w:bookmarkEnd w:id="41"/>
      <w:bookmarkEnd w:id="42"/>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lastRenderedPageBreak/>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3" w:name="_Toc410907856"/>
      <w:bookmarkStart w:id="44" w:name="_Toc440372868"/>
      <w:bookmarkStart w:id="45" w:name="_Toc440636379"/>
      <w:r w:rsidRPr="0073389C">
        <w:rPr>
          <w:lang w:val="sk-SK"/>
        </w:rPr>
        <w:t>Finančné riadenie</w:t>
      </w:r>
      <w:bookmarkEnd w:id="43"/>
      <w:bookmarkEnd w:id="44"/>
      <w:bookmarkEnd w:id="45"/>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6" w:name="_Toc410907857"/>
      <w:bookmarkStart w:id="47" w:name="_Toc440372869"/>
      <w:bookmarkStart w:id="48" w:name="_Toc440636380"/>
      <w:r w:rsidRPr="0073389C">
        <w:rPr>
          <w:lang w:val="sk-SK"/>
        </w:rPr>
        <w:t>Vedenie účtovníct</w:t>
      </w:r>
      <w:r w:rsidR="004A616F" w:rsidRPr="0073389C">
        <w:rPr>
          <w:lang w:val="sk-SK"/>
        </w:rPr>
        <w:t>va</w:t>
      </w:r>
      <w:bookmarkEnd w:id="46"/>
      <w:bookmarkEnd w:id="47"/>
      <w:bookmarkEnd w:id="48"/>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lastRenderedPageBreak/>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49" w:name="_Toc440372870"/>
      <w:bookmarkStart w:id="50" w:name="_Toc440636381"/>
      <w:bookmarkStart w:id="51"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49"/>
      <w:bookmarkEnd w:id="50"/>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w:t>
      </w:r>
      <w:r w:rsidRPr="00C33B6F">
        <w:rPr>
          <w:rFonts w:cs="Arial"/>
          <w:szCs w:val="16"/>
        </w:rPr>
        <w:lastRenderedPageBreak/>
        <w:t xml:space="preserve">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9A78AB">
      <w:pPr>
        <w:pStyle w:val="Odsekzoznamu"/>
        <w:numPr>
          <w:ilvl w:val="0"/>
          <w:numId w:val="82"/>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9A78AB">
      <w:pPr>
        <w:pStyle w:val="Odsekzoznamu"/>
        <w:numPr>
          <w:ilvl w:val="0"/>
          <w:numId w:val="82"/>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w:t>
      </w:r>
      <w:r w:rsidRPr="0073389C">
        <w:rPr>
          <w:szCs w:val="19"/>
          <w:lang w:val="sk-SK"/>
        </w:rPr>
        <w:lastRenderedPageBreak/>
        <w:t>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lastRenderedPageBreak/>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52" w:name="_Toc440372871"/>
      <w:bookmarkStart w:id="53" w:name="_Toc440636382"/>
      <w:r w:rsidRPr="00E135DC">
        <w:rPr>
          <w:b/>
        </w:rPr>
        <w:t>Platby vo vzťahu prijímateľ – dodávateľ/zhotoviteľ</w:t>
      </w:r>
      <w:bookmarkEnd w:id="52"/>
      <w:bookmarkEnd w:id="53"/>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4" w:name="_Toc440372872"/>
      <w:bookmarkStart w:id="55" w:name="_Toc440636383"/>
      <w:r w:rsidRPr="0073389C">
        <w:rPr>
          <w:lang w:val="sk-SK"/>
        </w:rPr>
        <w:t>Oprávnenosť výdavkov</w:t>
      </w:r>
      <w:bookmarkEnd w:id="51"/>
      <w:bookmarkEnd w:id="54"/>
      <w:bookmarkEnd w:id="55"/>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w:t>
      </w:r>
      <w:r w:rsidR="000F5FC0" w:rsidRPr="0073389C">
        <w:lastRenderedPageBreak/>
        <w:t xml:space="preserve">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w:t>
      </w:r>
      <w:r w:rsidRPr="0073389C">
        <w:lastRenderedPageBreak/>
        <w:t>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xml:space="preserve">, pokiaľ tento spôsob </w:t>
      </w:r>
      <w:r w:rsidR="004B173C" w:rsidRPr="0073389C">
        <w:lastRenderedPageBreak/>
        <w:t>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1B9DC992"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0"/>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w:t>
      </w:r>
      <w:r w:rsidR="00DE095C" w:rsidRPr="00056ABC">
        <w:lastRenderedPageBreak/>
        <w:t>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1"/>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3"/>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4"/>
      </w:r>
      <w:r w:rsidR="00694363" w:rsidRPr="0073389C">
        <w:t>),</w:t>
      </w:r>
      <w:r w:rsidRPr="0073389C">
        <w:t xml:space="preserve"> ako aj povinné odvody</w:t>
      </w:r>
      <w:r w:rsidRPr="0073389C">
        <w:rPr>
          <w:rStyle w:val="Odkaznapoznmkupodiarou"/>
          <w:sz w:val="19"/>
        </w:rPr>
        <w:footnoteReference w:id="25"/>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6"/>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7"/>
      </w:r>
      <w:r w:rsidRPr="0073389C">
        <w:t>), ako aj povinné odvody za zamestnávateľa</w:t>
      </w:r>
      <w:r w:rsidRPr="0073389C">
        <w:rPr>
          <w:rStyle w:val="Odkaznapoznmkupodiarou"/>
          <w:sz w:val="19"/>
        </w:rPr>
        <w:footnoteReference w:id="28"/>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0"/>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B573C4">
      <w:pPr>
        <w:pStyle w:val="Zkladntext"/>
        <w:numPr>
          <w:ilvl w:val="0"/>
          <w:numId w:val="100"/>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lastRenderedPageBreak/>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4"/>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38"/>
      </w:r>
      <w:r w:rsidRPr="00B13AD8">
        <w:rPr>
          <w:rFonts w:cs="Arial"/>
          <w:szCs w:val="19"/>
        </w:rPr>
        <w:t>, ktorá zahŕňa výdavky na ubytovanie, stravné a cestovné v SR</w:t>
      </w:r>
      <w:r w:rsidRPr="00B13AD8">
        <w:rPr>
          <w:rStyle w:val="Odkaznapoznmkupodiarou"/>
          <w:rFonts w:cs="Arial"/>
          <w:sz w:val="19"/>
          <w:szCs w:val="19"/>
        </w:rPr>
        <w:footnoteReference w:id="3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0"/>
      </w:r>
      <w:r w:rsidRPr="00B13AD8">
        <w:rPr>
          <w:rFonts w:cs="Arial"/>
          <w:szCs w:val="19"/>
        </w:rPr>
        <w:t xml:space="preserve">,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w:t>
      </w:r>
      <w:r w:rsidRPr="00B13AD8">
        <w:rPr>
          <w:rFonts w:cs="Arial"/>
          <w:szCs w:val="19"/>
        </w:rPr>
        <w:lastRenderedPageBreak/>
        <w:t>vrátane dane za ubytovanie. Letenka, príp. lístok na vlak/autobus</w:t>
      </w:r>
      <w:r w:rsidRPr="00B13AD8">
        <w:rPr>
          <w:rStyle w:val="Odkaznapoznmkupodiarou"/>
          <w:rFonts w:cs="Arial"/>
          <w:sz w:val="19"/>
          <w:szCs w:val="19"/>
        </w:rPr>
        <w:footnoteReference w:id="41"/>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AA6482">
      <w:pPr>
        <w:pStyle w:val="Odsekzoznamu"/>
        <w:numPr>
          <w:ilvl w:val="0"/>
          <w:numId w:val="84"/>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lastRenderedPageBreak/>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6"/>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7"/>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48"/>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49"/>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0"/>
      </w:r>
      <w:r w:rsidRPr="0073389C">
        <w:rPr>
          <w:rFonts w:ascii="Arial" w:hAnsi="Arial" w:cs="Arial"/>
          <w:sz w:val="19"/>
          <w:szCs w:val="19"/>
        </w:rPr>
        <w:t xml:space="preserve">); </w:t>
      </w:r>
    </w:p>
    <w:p w14:paraId="7A55CFF7"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9A78AB">
      <w:pPr>
        <w:pStyle w:val="Zoznamsodrkami"/>
        <w:numPr>
          <w:ilvl w:val="0"/>
          <w:numId w:val="35"/>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obstarávacia cena</w:t>
      </w:r>
      <w:r w:rsidRPr="0073389C">
        <w:rPr>
          <w:rStyle w:val="Odkaznapoznmkupodiarou"/>
          <w:sz w:val="19"/>
        </w:rPr>
        <w:footnoteReference w:id="51"/>
      </w:r>
      <w:r w:rsidRPr="0073389C">
        <w:t xml:space="preserve"> použitého zariadenia je nižšia ako výdavky na obdobné nové zariadenie; </w:t>
      </w:r>
    </w:p>
    <w:p w14:paraId="7A55D02F"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2"/>
      </w:r>
      <w:r w:rsidRPr="0073389C">
        <w:t xml:space="preserve">; </w:t>
      </w:r>
    </w:p>
    <w:p w14:paraId="7A55D031"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súčasný, či niektorý z predchádzajúcich vlastníkov zariadenia nezískal pred predložením žiadosti o NFP príspevok z verejných zdrojov na nákup daného použitého zariadenia, čo by v prípade </w:t>
      </w:r>
      <w:r w:rsidRPr="0073389C">
        <w:lastRenderedPageBreak/>
        <w:t>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3"/>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9A78AB">
      <w:pPr>
        <w:numPr>
          <w:ilvl w:val="0"/>
          <w:numId w:val="84"/>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4"/>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5"/>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6"/>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w:t>
      </w:r>
      <w:r w:rsidRPr="0073389C">
        <w:lastRenderedPageBreak/>
        <w:t xml:space="preserve">opodstatnenosť pre projekt, cieľ, obsah a rozsah s im prideleným projektovým manažérom, ešte pred ich obstaraním, resp. pred podpisom zmluvy s ich dodávateľom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9A78AB">
      <w:pPr>
        <w:pStyle w:val="Odsekzoznamu"/>
        <w:numPr>
          <w:ilvl w:val="0"/>
          <w:numId w:val="84"/>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D058"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58"/>
      </w:r>
      <w:r w:rsidRPr="0073389C">
        <w:rPr>
          <w:rFonts w:ascii="Arial" w:hAnsi="Arial" w:cs="Arial"/>
          <w:sz w:val="19"/>
          <w:szCs w:val="19"/>
        </w:rPr>
        <w:t>;</w:t>
      </w:r>
    </w:p>
    <w:p w14:paraId="7A55D059"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0"/>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9A78AB">
      <w:pPr>
        <w:pStyle w:val="Zkladntext"/>
        <w:numPr>
          <w:ilvl w:val="0"/>
          <w:numId w:val="84"/>
        </w:numPr>
        <w:spacing w:before="120" w:after="120" w:line="288" w:lineRule="auto"/>
        <w:ind w:left="426" w:hanging="426"/>
        <w:rPr>
          <w:rFonts w:ascii="Arial" w:hAnsi="Arial" w:cs="Arial"/>
          <w:b/>
          <w:sz w:val="19"/>
          <w:szCs w:val="19"/>
          <w:lang w:val="sk-SK" w:eastAsia="en-US"/>
        </w:rPr>
      </w:pPr>
      <w:bookmarkStart w:id="56" w:name="_Toc361131496"/>
      <w:r w:rsidRPr="0073389C">
        <w:rPr>
          <w:rFonts w:ascii="Arial" w:hAnsi="Arial" w:cs="Arial"/>
          <w:b/>
          <w:sz w:val="19"/>
          <w:szCs w:val="19"/>
          <w:lang w:val="sk-SK" w:eastAsia="en-US"/>
        </w:rPr>
        <w:t>Problematika prekrývania sa výdavkov</w:t>
      </w:r>
      <w:bookmarkEnd w:id="56"/>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9A78AB">
      <w:pPr>
        <w:pStyle w:val="Zkladntext"/>
        <w:numPr>
          <w:ilvl w:val="0"/>
          <w:numId w:val="84"/>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9A78AB">
      <w:pPr>
        <w:pStyle w:val="Zkladntext"/>
        <w:numPr>
          <w:ilvl w:val="0"/>
          <w:numId w:val="38"/>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1"/>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2"/>
      </w:r>
      <w:r w:rsidRPr="0073389C">
        <w:rPr>
          <w:rFonts w:ascii="Arial" w:hAnsi="Arial" w:cs="Arial"/>
          <w:sz w:val="19"/>
          <w:szCs w:val="19"/>
        </w:rPr>
        <w:t>;</w:t>
      </w:r>
    </w:p>
    <w:p w14:paraId="06FE162D"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3B2E8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7" w:name="_Toc410907859"/>
      <w:bookmarkStart w:id="58" w:name="_Toc440372873"/>
      <w:bookmarkStart w:id="59" w:name="_Toc440636384"/>
      <w:r w:rsidRPr="0073389C">
        <w:rPr>
          <w:lang w:val="sk-SK"/>
        </w:rPr>
        <w:t>Postupy pri žiadosti o platbu</w:t>
      </w:r>
      <w:bookmarkEnd w:id="57"/>
      <w:bookmarkEnd w:id="58"/>
      <w:bookmarkEnd w:id="59"/>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3"/>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lastRenderedPageBreak/>
        <w:t xml:space="preserve">Výstupom z každej kontroly projektu je </w:t>
      </w:r>
      <w:r w:rsidR="00045CFC">
        <w:t>návrh čiastkovej správy z kontroly</w:t>
      </w:r>
      <w:r w:rsidR="001A7C8D">
        <w:rPr>
          <w:rStyle w:val="Odkaznapoznmkupodiarou"/>
        </w:rPr>
        <w:footnoteReference w:id="64"/>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0" w:name="_Toc410907860"/>
      <w:bookmarkStart w:id="61" w:name="_Toc440372874"/>
      <w:bookmarkStart w:id="62" w:name="_Toc440636385"/>
      <w:r w:rsidRPr="0073389C">
        <w:rPr>
          <w:lang w:val="sk-SK"/>
        </w:rPr>
        <w:t>Špecifiká jednotlivých systémov financovania</w:t>
      </w:r>
      <w:bookmarkEnd w:id="60"/>
      <w:bookmarkEnd w:id="61"/>
      <w:bookmarkEnd w:id="62"/>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lastRenderedPageBreak/>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5"/>
      </w:r>
      <w:r w:rsidR="00AE5A8F" w:rsidRPr="0073389C">
        <w:t>:</w:t>
      </w:r>
    </w:p>
    <w:p w14:paraId="397A1FB8" w14:textId="458000D0" w:rsidR="00434F2E" w:rsidRDefault="002D4DD9" w:rsidP="00CF7FC1">
      <w:pPr>
        <w:tabs>
          <w:tab w:val="left" w:pos="360"/>
        </w:tabs>
        <w:autoSpaceDE w:val="0"/>
        <w:autoSpaceDN w:val="0"/>
        <w:adjustRightInd w:val="0"/>
        <w:spacing w:before="120" w:after="120" w:line="288" w:lineRule="auto"/>
        <w:jc w:val="both"/>
        <w:rPr>
          <w:b/>
        </w:rPr>
      </w:pPr>
      <w:r>
        <w:rPr>
          <w:b/>
        </w:rPr>
        <w:t xml:space="preserve">Poskytnutie zálohovej platby </w:t>
      </w:r>
    </w:p>
    <w:p w14:paraId="3614987C" w14:textId="77777777"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lastRenderedPageBreak/>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 xml:space="preserve">o uvedenej skutočnosti ako i dôvodoch nedodržania stanovených podmienok </w:t>
      </w:r>
      <w:r w:rsidRPr="0073389C">
        <w:lastRenderedPageBreak/>
        <w:t>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9A78AB">
      <w:pPr>
        <w:pStyle w:val="Odsekzoznamu"/>
        <w:numPr>
          <w:ilvl w:val="1"/>
          <w:numId w:val="60"/>
        </w:numPr>
        <w:autoSpaceDE w:val="0"/>
        <w:autoSpaceDN w:val="0"/>
        <w:adjustRightInd w:val="0"/>
        <w:spacing w:before="120" w:after="120" w:line="288" w:lineRule="auto"/>
        <w:ind w:left="709" w:hanging="425"/>
        <w:jc w:val="both"/>
      </w:pPr>
      <w:r w:rsidRPr="0073389C">
        <w:lastRenderedPageBreak/>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9A78AB">
      <w:pPr>
        <w:numPr>
          <w:ilvl w:val="1"/>
          <w:numId w:val="60"/>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6"/>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33BE0F0A"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w:t>
      </w:r>
      <w:r w:rsidRPr="0073389C">
        <w:lastRenderedPageBreak/>
        <w:t xml:space="preserve">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68"/>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6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xml:space="preserve">. V prípade, ak k predloženému výdavku je priložených viacero </w:t>
      </w:r>
      <w:r w:rsidRPr="0073389C">
        <w:rPr>
          <w:rFonts w:ascii="Arial" w:hAnsi="Arial" w:cs="Arial"/>
          <w:sz w:val="19"/>
          <w:szCs w:val="19"/>
          <w:lang w:val="sk-SK"/>
        </w:rPr>
        <w:lastRenderedPageBreak/>
        <w:t>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3" w:name="_Toc410907861"/>
      <w:bookmarkStart w:id="64" w:name="_Toc440372875"/>
      <w:bookmarkStart w:id="65" w:name="_Toc440636386"/>
      <w:r w:rsidRPr="0073389C">
        <w:rPr>
          <w:caps/>
          <w:lang w:val="sk-SK" w:eastAsia="cs-CZ"/>
        </w:rPr>
        <w:t>Ú</w:t>
      </w:r>
      <w:r w:rsidRPr="0073389C">
        <w:rPr>
          <w:lang w:val="sk-SK" w:eastAsia="cs-CZ"/>
        </w:rPr>
        <w:t>čtovné doklady a ich prílohy</w:t>
      </w:r>
      <w:bookmarkEnd w:id="63"/>
      <w:bookmarkEnd w:id="64"/>
      <w:bookmarkEnd w:id="65"/>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6" w:name="_Toc317864902"/>
      <w:bookmarkStart w:id="67" w:name="_Toc317865114"/>
      <w:bookmarkStart w:id="68" w:name="_Toc317865267"/>
      <w:bookmarkStart w:id="69" w:name="_Toc317865410"/>
      <w:bookmarkStart w:id="70" w:name="_Toc317865549"/>
      <w:bookmarkStart w:id="71" w:name="_Toc317865688"/>
      <w:bookmarkStart w:id="72" w:name="_Toc317866058"/>
      <w:bookmarkStart w:id="73" w:name="_Toc317866203"/>
      <w:bookmarkStart w:id="74" w:name="_Toc317866305"/>
      <w:bookmarkStart w:id="75" w:name="_Toc317866470"/>
      <w:bookmarkStart w:id="76" w:name="_Toc317866572"/>
      <w:bookmarkStart w:id="77" w:name="_Toc317866789"/>
      <w:bookmarkStart w:id="78" w:name="_Toc329084085"/>
      <w:bookmarkEnd w:id="66"/>
      <w:bookmarkEnd w:id="67"/>
      <w:bookmarkEnd w:id="68"/>
      <w:bookmarkEnd w:id="69"/>
      <w:bookmarkEnd w:id="70"/>
      <w:bookmarkEnd w:id="71"/>
      <w:bookmarkEnd w:id="72"/>
      <w:bookmarkEnd w:id="73"/>
      <w:bookmarkEnd w:id="74"/>
      <w:bookmarkEnd w:id="75"/>
      <w:bookmarkEnd w:id="76"/>
      <w:bookmarkEnd w:id="77"/>
      <w:bookmarkEnd w:id="78"/>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lastRenderedPageBreak/>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79"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79"/>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0"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0"/>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1"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2" w:name="_Toc417050114"/>
      <w:bookmarkStart w:id="83" w:name="_Toc417155861"/>
      <w:bookmarkStart w:id="84" w:name="_Toc417156080"/>
      <w:bookmarkStart w:id="85" w:name="_Toc417050126"/>
      <w:bookmarkStart w:id="86" w:name="_Toc417155873"/>
      <w:bookmarkStart w:id="87" w:name="_Toc417156092"/>
      <w:bookmarkEnd w:id="82"/>
      <w:bookmarkEnd w:id="83"/>
      <w:bookmarkEnd w:id="84"/>
      <w:bookmarkEnd w:id="85"/>
      <w:bookmarkEnd w:id="86"/>
      <w:bookmarkEnd w:id="87"/>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8" w:name="_Toc317864930"/>
      <w:bookmarkStart w:id="89" w:name="_Toc317865142"/>
      <w:bookmarkStart w:id="90" w:name="_Toc317865295"/>
      <w:bookmarkStart w:id="91" w:name="_Toc317865438"/>
      <w:bookmarkStart w:id="92" w:name="_Toc317865577"/>
      <w:bookmarkStart w:id="93" w:name="_Toc317865703"/>
      <w:bookmarkStart w:id="94" w:name="_Toc317866072"/>
      <w:bookmarkStart w:id="95" w:name="_Toc317866217"/>
      <w:bookmarkStart w:id="96" w:name="_Toc317866319"/>
      <w:bookmarkStart w:id="97" w:name="_Toc317866484"/>
      <w:bookmarkStart w:id="98" w:name="_Toc317866586"/>
      <w:bookmarkStart w:id="99" w:name="_Toc317866803"/>
      <w:bookmarkStart w:id="100" w:name="_Toc329084100"/>
      <w:bookmarkStart w:id="101" w:name="_Toc410905147"/>
      <w:bookmarkStart w:id="102" w:name="_Toc410907875"/>
      <w:bookmarkStart w:id="103" w:name="_Toc410910215"/>
      <w:bookmarkStart w:id="104" w:name="_Toc413415834"/>
      <w:bookmarkStart w:id="105" w:name="_Toc413830211"/>
      <w:bookmarkStart w:id="106" w:name="_Toc413833999"/>
      <w:bookmarkStart w:id="107" w:name="_Toc413834102"/>
      <w:bookmarkStart w:id="108" w:name="_Toc415130210"/>
      <w:bookmarkStart w:id="109" w:name="_Toc415155540"/>
      <w:bookmarkStart w:id="110" w:name="_Toc417050140"/>
      <w:bookmarkStart w:id="111" w:name="_Toc417155887"/>
      <w:bookmarkStart w:id="112" w:name="_Toc417156106"/>
      <w:bookmarkEnd w:id="8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3"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3"/>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4"/>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75"/>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6"/>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lastRenderedPageBreak/>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78"/>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79"/>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0"/>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lastRenderedPageBreak/>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9A78AB">
      <w:pPr>
        <w:pStyle w:val="Bulletslevel1"/>
        <w:numPr>
          <w:ilvl w:val="1"/>
          <w:numId w:val="72"/>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9A78AB">
      <w:pPr>
        <w:pStyle w:val="Bulletslevel1"/>
        <w:numPr>
          <w:ilvl w:val="1"/>
          <w:numId w:val="72"/>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9A78AB">
      <w:pPr>
        <w:pStyle w:val="Bulletslevel1"/>
        <w:numPr>
          <w:ilvl w:val="1"/>
          <w:numId w:val="72"/>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9A78AB">
      <w:pPr>
        <w:pStyle w:val="Bulletslevel1"/>
        <w:numPr>
          <w:ilvl w:val="1"/>
          <w:numId w:val="72"/>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9A78AB">
      <w:pPr>
        <w:pStyle w:val="Bulletslevel1"/>
        <w:numPr>
          <w:ilvl w:val="1"/>
          <w:numId w:val="72"/>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9A78AB">
      <w:pPr>
        <w:pStyle w:val="Default"/>
        <w:numPr>
          <w:ilvl w:val="1"/>
          <w:numId w:val="72"/>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lastRenderedPageBreak/>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w:t>
      </w:r>
      <w:r w:rsidRPr="00293A94">
        <w:rPr>
          <w:rFonts w:ascii="Arial" w:hAnsi="Arial" w:cs="Arial"/>
          <w:sz w:val="19"/>
          <w:szCs w:val="19"/>
          <w:lang w:val="sk-SK"/>
        </w:rPr>
        <w:lastRenderedPageBreak/>
        <w:t xml:space="preserve">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4C4435C6" w14:textId="7CA7C358" w:rsidR="00C87533" w:rsidRPr="0073389C" w:rsidRDefault="00531F46"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r w:rsidR="00C87533"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00C87533" w:rsidRPr="0073389C">
        <w:rPr>
          <w:rFonts w:ascii="Arial" w:hAnsi="Arial" w:cs="Arial"/>
          <w:iCs/>
          <w:sz w:val="19"/>
          <w:szCs w:val="19"/>
          <w:lang w:val="sk-SK"/>
        </w:rPr>
        <w:t>prezenčná listina</w:t>
      </w:r>
      <w:r w:rsidR="00C87533"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9A78AB">
      <w:pPr>
        <w:pStyle w:val="Default"/>
        <w:numPr>
          <w:ilvl w:val="0"/>
          <w:numId w:val="71"/>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9A78AB">
      <w:pPr>
        <w:pStyle w:val="Default"/>
        <w:numPr>
          <w:ilvl w:val="0"/>
          <w:numId w:val="71"/>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lastRenderedPageBreak/>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9A78AB">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9A78AB">
      <w:pPr>
        <w:pStyle w:val="Default"/>
        <w:numPr>
          <w:ilvl w:val="0"/>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9A78AB">
      <w:pPr>
        <w:pStyle w:val="Default"/>
        <w:numPr>
          <w:ilvl w:val="2"/>
          <w:numId w:val="63"/>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9A78AB">
      <w:pPr>
        <w:pStyle w:val="Default"/>
        <w:numPr>
          <w:ilvl w:val="1"/>
          <w:numId w:val="6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9A78AB">
      <w:pPr>
        <w:pStyle w:val="Default"/>
        <w:numPr>
          <w:ilvl w:val="1"/>
          <w:numId w:val="68"/>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lastRenderedPageBreak/>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9A78AB">
      <w:pPr>
        <w:pStyle w:val="Default"/>
        <w:numPr>
          <w:ilvl w:val="0"/>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3"/>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4"/>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9A78AB">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9A78AB">
      <w:pPr>
        <w:pStyle w:val="Normlnywebov"/>
        <w:numPr>
          <w:ilvl w:val="0"/>
          <w:numId w:val="74"/>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9A78AB">
      <w:pPr>
        <w:pStyle w:val="Odsekzoznamu"/>
        <w:numPr>
          <w:ilvl w:val="0"/>
          <w:numId w:val="74"/>
        </w:numPr>
        <w:autoSpaceDE w:val="0"/>
        <w:autoSpaceDN w:val="0"/>
        <w:adjustRightInd w:val="0"/>
        <w:spacing w:before="120" w:line="288" w:lineRule="auto"/>
        <w:ind w:left="567" w:hanging="283"/>
        <w:jc w:val="both"/>
        <w:rPr>
          <w:szCs w:val="19"/>
        </w:rPr>
      </w:pPr>
      <w:r w:rsidRPr="008B1F4F">
        <w:rPr>
          <w:color w:val="000000"/>
          <w:szCs w:val="19"/>
        </w:rPr>
        <w:lastRenderedPageBreak/>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9A78AB">
      <w:pPr>
        <w:pStyle w:val="Default"/>
        <w:numPr>
          <w:ilvl w:val="1"/>
          <w:numId w:val="7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9A78AB">
      <w:pPr>
        <w:pStyle w:val="Default"/>
        <w:numPr>
          <w:ilvl w:val="1"/>
          <w:numId w:val="7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5"/>
      </w:r>
      <w:r w:rsidRPr="0073389C">
        <w:rPr>
          <w:rFonts w:ascii="Arial" w:hAnsi="Arial" w:cs="Arial"/>
          <w:b/>
          <w:bCs/>
          <w:position w:val="8"/>
          <w:sz w:val="19"/>
          <w:szCs w:val="19"/>
          <w:vertAlign w:val="superscript"/>
          <w:lang w:val="sk-SK"/>
        </w:rPr>
        <w:t xml:space="preserve"> </w:t>
      </w:r>
    </w:p>
    <w:p w14:paraId="7A55D209" w14:textId="1446C6B3" w:rsidR="009D7F63"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6"/>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9A78AB">
      <w:pPr>
        <w:pStyle w:val="Default"/>
        <w:numPr>
          <w:ilvl w:val="0"/>
          <w:numId w:val="7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9A78AB">
      <w:pPr>
        <w:pStyle w:val="Zoznamsodrkami"/>
        <w:numPr>
          <w:ilvl w:val="0"/>
          <w:numId w:val="79"/>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9A78AB">
      <w:pPr>
        <w:pStyle w:val="Default"/>
        <w:numPr>
          <w:ilvl w:val="1"/>
          <w:numId w:val="64"/>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lastRenderedPageBreak/>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4" w:name="_Toc410907876"/>
      <w:r>
        <w:rPr>
          <w:lang w:val="sk-SK"/>
        </w:rPr>
        <w:t xml:space="preserve"> </w:t>
      </w:r>
      <w:bookmarkStart w:id="115" w:name="_Toc440372876"/>
      <w:bookmarkStart w:id="116" w:name="_Toc440636387"/>
      <w:r w:rsidR="009D7F63" w:rsidRPr="0073389C">
        <w:rPr>
          <w:lang w:val="sk-SK"/>
        </w:rPr>
        <w:t>Nezrovnalosti a vysporiadanie finančných vzťahov</w:t>
      </w:r>
      <w:bookmarkEnd w:id="114"/>
      <w:bookmarkEnd w:id="115"/>
      <w:bookmarkEnd w:id="116"/>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9A78AB">
      <w:pPr>
        <w:numPr>
          <w:ilvl w:val="0"/>
          <w:numId w:val="97"/>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A78AB">
      <w:pPr>
        <w:numPr>
          <w:ilvl w:val="0"/>
          <w:numId w:val="97"/>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E8012F">
      <w:pPr>
        <w:numPr>
          <w:ilvl w:val="0"/>
          <w:numId w:val="113"/>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w:t>
      </w:r>
      <w:r w:rsidR="009D7F63" w:rsidRPr="0073389C">
        <w:lastRenderedPageBreak/>
        <w:t>povinností, resp. nesplnenie týchto povinností je spojené s povinnosťou vrátenia finančných prostriedkov;</w:t>
      </w:r>
    </w:p>
    <w:p w14:paraId="7A55D236" w14:textId="69A6AA42" w:rsidR="009D7F63" w:rsidRPr="0073389C" w:rsidRDefault="00FC31BD" w:rsidP="00E8012F">
      <w:pPr>
        <w:numPr>
          <w:ilvl w:val="0"/>
          <w:numId w:val="113"/>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E8012F">
      <w:pPr>
        <w:numPr>
          <w:ilvl w:val="0"/>
          <w:numId w:val="113"/>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 xml:space="preserve">Dokladom, na základe ktorého možno vyhotoviť účtovný doklad je dohoda o započítaní, resp. jednostranný </w:t>
      </w:r>
      <w:r w:rsidR="00170D3E" w:rsidRPr="00561705">
        <w:rPr>
          <w:rFonts w:cs="Arial"/>
          <w:szCs w:val="16"/>
        </w:rPr>
        <w:lastRenderedPageBreak/>
        <w:t>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7"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7"/>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18" w:name="_Toc410905149"/>
      <w:bookmarkStart w:id="119" w:name="_Toc410907877"/>
      <w:bookmarkStart w:id="120" w:name="_Toc440372877"/>
      <w:bookmarkStart w:id="121" w:name="_Toc440636388"/>
      <w:bookmarkEnd w:id="118"/>
      <w:r w:rsidRPr="0073389C">
        <w:rPr>
          <w:lang w:val="sk-SK"/>
        </w:rPr>
        <w:t>Verejné obstarávanie</w:t>
      </w:r>
      <w:bookmarkEnd w:id="119"/>
      <w:bookmarkEnd w:id="120"/>
      <w:bookmarkEnd w:id="121"/>
    </w:p>
    <w:p w14:paraId="7A55D246" w14:textId="738F16D2" w:rsidR="009D7F63" w:rsidRPr="0073389C" w:rsidRDefault="009D7F63" w:rsidP="00A10CB2">
      <w:pPr>
        <w:autoSpaceDE w:val="0"/>
        <w:autoSpaceDN w:val="0"/>
        <w:adjustRightInd w:val="0"/>
        <w:spacing w:before="120" w:after="120" w:line="288" w:lineRule="auto"/>
        <w:jc w:val="both"/>
      </w:pPr>
      <w:bookmarkStart w:id="122" w:name="p22-2-a"/>
      <w:bookmarkStart w:id="123" w:name="p23-5"/>
      <w:bookmarkStart w:id="124" w:name="p23-6"/>
      <w:bookmarkStart w:id="125" w:name="p24"/>
      <w:bookmarkStart w:id="126" w:name="_Toc409190739"/>
      <w:bookmarkStart w:id="127" w:name="_Toc360031225"/>
      <w:bookmarkEnd w:id="122"/>
      <w:bookmarkEnd w:id="123"/>
      <w:bookmarkEnd w:id="124"/>
      <w:bookmarkEnd w:id="125"/>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7"/>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88"/>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28" w:name="_Toc440372878"/>
      <w:bookmarkStart w:id="129" w:name="_Toc440636389"/>
      <w:r w:rsidRPr="0073389C">
        <w:rPr>
          <w:rFonts w:cs="Arial"/>
          <w:lang w:val="sk-SK"/>
        </w:rPr>
        <w:t>Plán obstarávaní</w:t>
      </w:r>
      <w:bookmarkEnd w:id="126"/>
      <w:bookmarkEnd w:id="127"/>
      <w:bookmarkEnd w:id="128"/>
      <w:bookmarkEnd w:id="129"/>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w:t>
      </w:r>
      <w:r w:rsidR="006451E8" w:rsidRPr="006451E8">
        <w:lastRenderedPageBreak/>
        <w:t>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6451E8">
      <w:pPr>
        <w:pStyle w:val="Odsekzoznamu"/>
        <w:numPr>
          <w:ilvl w:val="0"/>
          <w:numId w:val="116"/>
        </w:numPr>
        <w:spacing w:before="120" w:after="120" w:line="288" w:lineRule="auto"/>
      </w:pPr>
      <w:r w:rsidRPr="006451E8">
        <w:t>názov predmetu zákazky,</w:t>
      </w:r>
    </w:p>
    <w:p w14:paraId="1FAEB9BB" w14:textId="77777777" w:rsidR="006451E8" w:rsidRPr="006451E8" w:rsidRDefault="006451E8" w:rsidP="006451E8">
      <w:pPr>
        <w:pStyle w:val="Odsekzoznamu"/>
        <w:numPr>
          <w:ilvl w:val="0"/>
          <w:numId w:val="116"/>
        </w:numPr>
        <w:spacing w:before="120" w:after="120" w:line="288" w:lineRule="auto"/>
      </w:pPr>
      <w:r w:rsidRPr="006451E8">
        <w:t>stručný opis predmetu zákazky,</w:t>
      </w:r>
    </w:p>
    <w:p w14:paraId="0D17EB44" w14:textId="77777777" w:rsidR="006451E8" w:rsidRPr="006451E8" w:rsidRDefault="006451E8" w:rsidP="006451E8">
      <w:pPr>
        <w:pStyle w:val="Odsekzoznamu"/>
        <w:numPr>
          <w:ilvl w:val="0"/>
          <w:numId w:val="116"/>
        </w:numPr>
        <w:spacing w:before="120" w:after="120" w:line="288" w:lineRule="auto"/>
      </w:pPr>
      <w:r w:rsidRPr="006451E8">
        <w:t>predpokladaná hodnota zákazky/hodnota zákazky bez DPH,</w:t>
      </w:r>
    </w:p>
    <w:p w14:paraId="69A9493F" w14:textId="77777777" w:rsidR="006451E8" w:rsidRPr="006451E8" w:rsidRDefault="006451E8" w:rsidP="006451E8">
      <w:pPr>
        <w:pStyle w:val="Odsekzoznamu"/>
        <w:numPr>
          <w:ilvl w:val="0"/>
          <w:numId w:val="116"/>
        </w:numPr>
        <w:spacing w:before="120" w:after="120" w:line="288" w:lineRule="auto"/>
      </w:pPr>
      <w:r w:rsidRPr="006451E8">
        <w:t>postup zadávania zákazky,</w:t>
      </w:r>
    </w:p>
    <w:p w14:paraId="1E6BE2E9" w14:textId="77777777" w:rsidR="006451E8" w:rsidRPr="006451E8" w:rsidRDefault="006451E8" w:rsidP="006451E8">
      <w:pPr>
        <w:pStyle w:val="Odsekzoznamu"/>
        <w:numPr>
          <w:ilvl w:val="0"/>
          <w:numId w:val="116"/>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0" w:name="_Toc359942925"/>
      <w:bookmarkStart w:id="131" w:name="_Toc359943221"/>
      <w:bookmarkStart w:id="132" w:name="_Toc359943517"/>
      <w:bookmarkStart w:id="133" w:name="_Toc359943819"/>
      <w:bookmarkStart w:id="134" w:name="_Toc359944121"/>
      <w:bookmarkStart w:id="135" w:name="_Toc359944421"/>
      <w:bookmarkStart w:id="136" w:name="_Toc360024481"/>
      <w:bookmarkStart w:id="137" w:name="_Toc360030476"/>
      <w:bookmarkStart w:id="138" w:name="_Toc360031226"/>
      <w:bookmarkStart w:id="139" w:name="_Toc360109828"/>
      <w:bookmarkStart w:id="140" w:name="_Toc360110138"/>
      <w:bookmarkStart w:id="141" w:name="_Toc360118328"/>
      <w:bookmarkStart w:id="142" w:name="_Toc360118643"/>
      <w:bookmarkStart w:id="143" w:name="_Toc360031227"/>
      <w:bookmarkStart w:id="144" w:name="_Toc409190740"/>
      <w:bookmarkStart w:id="145" w:name="_Toc440372879"/>
      <w:bookmarkStart w:id="146" w:name="_Toc440636390"/>
      <w:bookmarkEnd w:id="130"/>
      <w:bookmarkEnd w:id="131"/>
      <w:bookmarkEnd w:id="132"/>
      <w:bookmarkEnd w:id="133"/>
      <w:bookmarkEnd w:id="134"/>
      <w:bookmarkEnd w:id="135"/>
      <w:bookmarkEnd w:id="136"/>
      <w:bookmarkEnd w:id="137"/>
      <w:bookmarkEnd w:id="138"/>
      <w:bookmarkEnd w:id="139"/>
      <w:bookmarkEnd w:id="140"/>
      <w:bookmarkEnd w:id="141"/>
      <w:bookmarkEnd w:id="142"/>
      <w:r w:rsidRPr="0073389C">
        <w:rPr>
          <w:lang w:val="sk-SK"/>
        </w:rPr>
        <w:t>Predpokladaná hodnota zákazky</w:t>
      </w:r>
      <w:bookmarkEnd w:id="143"/>
      <w:bookmarkEnd w:id="144"/>
      <w:r w:rsidRPr="0073389C">
        <w:rPr>
          <w:lang w:val="sk-SK"/>
        </w:rPr>
        <w:t xml:space="preserve"> (PHZ)</w:t>
      </w:r>
      <w:bookmarkEnd w:id="145"/>
      <w:bookmarkEnd w:id="146"/>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lastRenderedPageBreak/>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89"/>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58BD398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r w:rsidR="00103054">
        <w:rPr>
          <w:rFonts w:cs="Arial"/>
          <w:szCs w:val="19"/>
          <w:lang w:val="sk-SK"/>
        </w:rPr>
        <w:t>,</w:t>
      </w:r>
    </w:p>
    <w:p w14:paraId="13D0B168" w14:textId="28687B8D" w:rsidR="00103054" w:rsidRDefault="00103054" w:rsidP="00F158F9">
      <w:pPr>
        <w:pStyle w:val="Bulletslevel2"/>
        <w:spacing w:after="120" w:line="288" w:lineRule="auto"/>
        <w:ind w:left="567" w:hanging="283"/>
        <w:jc w:val="both"/>
        <w:rPr>
          <w:rFonts w:cs="Arial"/>
          <w:szCs w:val="19"/>
          <w:lang w:val="sk-SK"/>
        </w:rPr>
      </w:pPr>
      <w:r w:rsidRPr="00103054">
        <w:rPr>
          <w:rFonts w:cs="Arial"/>
          <w:szCs w:val="19"/>
          <w:lang w:val="sk-SK"/>
        </w:rPr>
        <w:t>projektantom ocenený rozpočet stavebných prác aktuálny k času 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úradnou pečiatkou projektanta,</w:t>
      </w:r>
    </w:p>
    <w:p w14:paraId="4689B984" w14:textId="0F28D859" w:rsidR="00D72FDB" w:rsidRPr="001F7F84" w:rsidRDefault="00D72FDB" w:rsidP="00D72FDB">
      <w:pPr>
        <w:pStyle w:val="Odsekzoznamu"/>
        <w:numPr>
          <w:ilvl w:val="1"/>
          <w:numId w:val="40"/>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7" w:name="_Toc359942927"/>
      <w:bookmarkStart w:id="148" w:name="_Toc359943223"/>
      <w:bookmarkStart w:id="149" w:name="_Toc359943519"/>
      <w:bookmarkStart w:id="150" w:name="_Toc359943821"/>
      <w:bookmarkStart w:id="151" w:name="_Toc359944123"/>
      <w:bookmarkStart w:id="152" w:name="_Toc359944423"/>
      <w:bookmarkStart w:id="153" w:name="_Toc360024483"/>
      <w:bookmarkStart w:id="154" w:name="_Toc360030478"/>
      <w:bookmarkStart w:id="155" w:name="_Toc360031228"/>
      <w:bookmarkStart w:id="156" w:name="_Toc360109830"/>
      <w:bookmarkStart w:id="157" w:name="_Toc360110140"/>
      <w:bookmarkStart w:id="158" w:name="_Toc360118330"/>
      <w:bookmarkStart w:id="159" w:name="_Toc360118645"/>
      <w:bookmarkStart w:id="160" w:name="_Toc409190741"/>
      <w:bookmarkStart w:id="161" w:name="_Toc360031229"/>
      <w:bookmarkStart w:id="162" w:name="_Toc440372880"/>
      <w:bookmarkStart w:id="163" w:name="_Toc440636391"/>
      <w:bookmarkEnd w:id="147"/>
      <w:bookmarkEnd w:id="148"/>
      <w:bookmarkEnd w:id="149"/>
      <w:bookmarkEnd w:id="150"/>
      <w:bookmarkEnd w:id="151"/>
      <w:bookmarkEnd w:id="152"/>
      <w:bookmarkEnd w:id="153"/>
      <w:bookmarkEnd w:id="154"/>
      <w:bookmarkEnd w:id="155"/>
      <w:bookmarkEnd w:id="156"/>
      <w:bookmarkEnd w:id="157"/>
      <w:bookmarkEnd w:id="158"/>
      <w:bookmarkEnd w:id="159"/>
      <w:r w:rsidRPr="0073389C">
        <w:rPr>
          <w:lang w:val="sk-SK"/>
        </w:rPr>
        <w:t>Povinnosť uzatvoriť zmluvu</w:t>
      </w:r>
      <w:bookmarkEnd w:id="160"/>
      <w:bookmarkEnd w:id="161"/>
      <w:bookmarkEnd w:id="162"/>
      <w:bookmarkEnd w:id="163"/>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164" w:name="_Toc440372881"/>
      <w:bookmarkStart w:id="165" w:name="_Toc440636392"/>
      <w:r w:rsidRPr="0073389C">
        <w:rPr>
          <w:lang w:val="sk-SK"/>
        </w:rPr>
        <w:t>Finančné limity</w:t>
      </w:r>
      <w:bookmarkEnd w:id="164"/>
      <w:bookmarkEnd w:id="165"/>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0"/>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6" w:name="_Toc440372882"/>
      <w:bookmarkStart w:id="167" w:name="_Toc440636393"/>
      <w:r w:rsidRPr="0073389C">
        <w:rPr>
          <w:lang w:val="sk-SK"/>
        </w:rPr>
        <w:t>Všeobecné ustanovenia</w:t>
      </w:r>
      <w:bookmarkEnd w:id="166"/>
      <w:bookmarkEnd w:id="167"/>
    </w:p>
    <w:p w14:paraId="7A55D278" w14:textId="0139703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 xml:space="preserve">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w:t>
      </w:r>
      <w:r w:rsidR="00E575D3" w:rsidRPr="00E575D3">
        <w:lastRenderedPageBreak/>
        <w:t>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9A78AB">
      <w:pPr>
        <w:pStyle w:val="Odsekzoznamu"/>
        <w:numPr>
          <w:ilvl w:val="0"/>
          <w:numId w:val="56"/>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9A78AB">
      <w:pPr>
        <w:pStyle w:val="Odsekzoznamu"/>
        <w:numPr>
          <w:ilvl w:val="0"/>
          <w:numId w:val="56"/>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9A78AB">
      <w:pPr>
        <w:pStyle w:val="Odsekzoznamu"/>
        <w:numPr>
          <w:ilvl w:val="0"/>
          <w:numId w:val="56"/>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w:t>
      </w:r>
      <w:r w:rsidRPr="0048666F">
        <w:rPr>
          <w:rFonts w:ascii="Arial" w:hAnsi="Arial" w:cs="Arial"/>
          <w:b w:val="0"/>
          <w:sz w:val="19"/>
          <w:szCs w:val="19"/>
        </w:rPr>
        <w:lastRenderedPageBreak/>
        <w:t>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lastRenderedPageBreak/>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18C07065" w14:textId="13101994" w:rsidR="00D72FDB" w:rsidRPr="0073389C" w:rsidRDefault="00D72FDB" w:rsidP="001F7F84">
      <w:pPr>
        <w:pStyle w:val="Bulletslevel2"/>
        <w:spacing w:after="120" w:line="288" w:lineRule="auto"/>
        <w:ind w:left="567" w:hanging="283"/>
        <w:jc w:val="both"/>
        <w:rPr>
          <w:rFonts w:cs="Arial"/>
          <w:lang w:val="sk-SK"/>
        </w:rPr>
      </w:pPr>
      <w:r w:rsidRPr="00D72FDB">
        <w:rPr>
          <w:rFonts w:cs="Arial"/>
          <w:lang w:val="sk-SK"/>
        </w:rPr>
        <w:t>preukázateľné potvrdenie  (napr. printscreen) preverovania zápisu úspešného uchádzača, resp. jeho subdodávateľov a osôb podľa § 33 ods. 2 a § 34 ods. 2 ZVO v registri konečných užívateľov výhod alebo úspešného uchádzača, resp. jeho subdodávateľov v registri partnerov verejného sektora;</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F7F84">
      <w:pPr>
        <w:pStyle w:val="Bulletslevel2"/>
        <w:numPr>
          <w:ilvl w:val="0"/>
          <w:numId w:val="87"/>
        </w:numPr>
        <w:jc w:val="both"/>
        <w:rPr>
          <w:rFonts w:cs="Arial"/>
          <w:lang w:val="sk-SK"/>
        </w:rPr>
      </w:pPr>
      <w:r w:rsidRPr="00144232">
        <w:rPr>
          <w:rFonts w:cs="Arial"/>
          <w:lang w:val="sk-SK"/>
        </w:rPr>
        <w:t>návrh zmluvného formuláru obsahujúceho štandardné zmluvné podmienky;</w:t>
      </w:r>
    </w:p>
    <w:p w14:paraId="20E81109" w14:textId="16AD90FB" w:rsidR="00EF2628" w:rsidRPr="00144232" w:rsidRDefault="00D72FDB" w:rsidP="001F7F84">
      <w:pPr>
        <w:pStyle w:val="Bulletslevel2"/>
        <w:numPr>
          <w:ilvl w:val="0"/>
          <w:numId w:val="87"/>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01E258EB" w14:textId="575054A4" w:rsidR="00EF2628" w:rsidRPr="00144232" w:rsidRDefault="00EF2628" w:rsidP="001F7F84">
      <w:pPr>
        <w:pStyle w:val="Bulletslevel2"/>
        <w:numPr>
          <w:ilvl w:val="0"/>
          <w:numId w:val="87"/>
        </w:numPr>
        <w:jc w:val="both"/>
        <w:rPr>
          <w:rFonts w:cs="Arial"/>
          <w:lang w:val="sk-SK"/>
        </w:rPr>
      </w:pPr>
      <w:r w:rsidRPr="00144232">
        <w:rPr>
          <w:rFonts w:cs="Arial"/>
          <w:lang w:val="sk-SK"/>
        </w:rPr>
        <w:t>;</w:t>
      </w:r>
    </w:p>
    <w:p w14:paraId="6379F042" w14:textId="77777777" w:rsidR="00EF2628" w:rsidRPr="00144232" w:rsidRDefault="00EF2628" w:rsidP="001F7F84">
      <w:pPr>
        <w:pStyle w:val="Bulletslevel2"/>
        <w:numPr>
          <w:ilvl w:val="0"/>
          <w:numId w:val="87"/>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F7F84">
      <w:pPr>
        <w:pStyle w:val="Bulletslevel2"/>
        <w:numPr>
          <w:ilvl w:val="0"/>
          <w:numId w:val="87"/>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F7F84">
      <w:pPr>
        <w:pStyle w:val="Bulletslevel2"/>
        <w:numPr>
          <w:ilvl w:val="0"/>
          <w:numId w:val="87"/>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F7F84">
      <w:pPr>
        <w:pStyle w:val="Bulletslevel2"/>
        <w:numPr>
          <w:ilvl w:val="0"/>
          <w:numId w:val="87"/>
        </w:numPr>
        <w:tabs>
          <w:tab w:val="clear" w:pos="567"/>
        </w:tabs>
        <w:spacing w:after="120" w:line="288" w:lineRule="auto"/>
        <w:ind w:left="1134" w:hanging="425"/>
        <w:jc w:val="both"/>
        <w:rPr>
          <w:rFonts w:cs="Arial"/>
          <w:lang w:val="sk-SK"/>
        </w:rPr>
      </w:pPr>
      <w:r w:rsidRPr="00D72FDB">
        <w:rPr>
          <w:rFonts w:cs="Arial"/>
          <w:lang w:val="sk-SK"/>
        </w:rPr>
        <w:t xml:space="preserve">automaticky vytvorené oznámenie o vyhlásení verejného obstarávania a súťažné podklady, ktoré boli automatizovaným spôsobom vytvorené z údajov zo zverejnenej ponuky na </w:t>
      </w:r>
      <w:r w:rsidRPr="00D72FDB">
        <w:rPr>
          <w:rFonts w:cs="Arial"/>
          <w:lang w:val="sk-SK"/>
        </w:rPr>
        <w:lastRenderedPageBreak/>
        <w:t>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1"/>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ŽoP, pričom je </w:t>
      </w:r>
      <w:r w:rsidRPr="002255EE">
        <w:rPr>
          <w:color w:val="000000" w:themeColor="text1"/>
        </w:rPr>
        <w:lastRenderedPageBreak/>
        <w:t>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68" w:name="_Toc418000109"/>
      <w:bookmarkStart w:id="169" w:name="_Toc440372883"/>
      <w:bookmarkStart w:id="170" w:name="_Toc440636394"/>
      <w:bookmarkEnd w:id="168"/>
      <w:r w:rsidRPr="00C477FA">
        <w:rPr>
          <w:lang w:val="sk-SK"/>
        </w:rPr>
        <w:t xml:space="preserve">Typy </w:t>
      </w:r>
      <w:r w:rsidRPr="0073389C">
        <w:rPr>
          <w:lang w:val="sk-SK"/>
        </w:rPr>
        <w:t>kontroly VO</w:t>
      </w:r>
      <w:bookmarkEnd w:id="169"/>
      <w:bookmarkEnd w:id="170"/>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 xml:space="preserve">a zároveň v prípade nadlimitných zákaziek realizovaných cez elektronické trhovisko aj automaticky </w:t>
      </w:r>
      <w:r w:rsidR="00F0718F" w:rsidRPr="005F1F6B">
        <w:rPr>
          <w:rFonts w:cs="Arial"/>
          <w:szCs w:val="19"/>
        </w:rPr>
        <w:lastRenderedPageBreak/>
        <w:t>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bookmarkStart w:id="171" w:name="_GoBack"/>
      <w:bookmarkEnd w:id="171"/>
      <w:r w:rsidR="00C7417C" w:rsidRPr="008D5848">
        <w:t xml:space="preserve">vykonáva pri: </w:t>
      </w:r>
    </w:p>
    <w:p w14:paraId="271947DC" w14:textId="02E62B61"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nadlimitných zákazkách, okrem zákaziek zadávaných centrálnou obstarávacou organizáciou podľa § 15 ods. 2 ZVO</w:t>
      </w:r>
      <w:r w:rsidRPr="008D5848">
        <w:t xml:space="preserve">; </w:t>
      </w:r>
    </w:p>
    <w:p w14:paraId="0FE68191" w14:textId="531AD0EC"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podlimitných zákazkách realizovaných cez elektronické trhovisko podľa § 108 ods. 1 písm. a) ZVO</w:t>
      </w:r>
      <w:r w:rsidRPr="008D5848">
        <w:t xml:space="preserve">; </w:t>
      </w:r>
    </w:p>
    <w:p w14:paraId="2A44826F" w14:textId="6163A0F1"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r>
      <w:r w:rsidR="005D4EE3" w:rsidRPr="005D4EE3">
        <w:t>podlimitných zákazkách pri službách uvedených v prílohe č. 1 ZVO (sociálne služby a iné osobitné služby)</w:t>
      </w:r>
      <w:r w:rsidR="005D4EE3">
        <w:t>.</w:t>
      </w:r>
      <w:r w:rsidR="00E322E9">
        <w:t xml:space="preserve"> </w:t>
      </w:r>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w:t>
      </w:r>
      <w:r w:rsidRPr="0073389C">
        <w:lastRenderedPageBreak/>
        <w:t xml:space="preserve">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6743EB82"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 xml:space="preserve">Doplnením dokumentácie nemôže dôjsť k zmene </w:t>
      </w:r>
      <w:r w:rsidR="00C20764" w:rsidRPr="00C20764">
        <w:rPr>
          <w:rFonts w:cs="Arial"/>
          <w:szCs w:val="19"/>
        </w:rPr>
        <w:lastRenderedPageBreak/>
        <w:t>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275CCA8F" w:rsidR="007B2419" w:rsidRPr="007B2419" w:rsidRDefault="007B2419" w:rsidP="007B2419">
      <w:pPr>
        <w:spacing w:before="120" w:after="120" w:line="288" w:lineRule="auto"/>
        <w:jc w:val="both"/>
      </w:pPr>
      <w:r w:rsidRPr="007B2419">
        <w:t xml:space="preserve">Ak poskytovateľ zistí </w:t>
      </w:r>
      <w:r w:rsidR="00AB3329">
        <w:t xml:space="preserve">nezistí nedostatky, resp. ak zistí </w:t>
      </w:r>
      <w:r w:rsidRPr="007B2419">
        <w:t>nedostatky, ktoré je možné postupmi v zmysle ZVO odstrániť (napr. opätovné vyhodnotenie podmienok účasti alebo ponúk), vyzve prijímateľa na zaslanie podnetu na ÚVO podľa § 169 ods. 1 písm. b) v spojení s § 169 ods. 2 ZVO.</w:t>
      </w:r>
    </w:p>
    <w:p w14:paraId="00489163" w14:textId="4AF31F30" w:rsidR="007B2419" w:rsidRPr="007B2419" w:rsidRDefault="007B2419" w:rsidP="007B2419">
      <w:pPr>
        <w:spacing w:before="120" w:after="120" w:line="288" w:lineRule="auto"/>
        <w:jc w:val="both"/>
      </w:pPr>
      <w:r w:rsidRPr="007B2419">
        <w:t>Po doručení právoplatného rozhodnutia ÚVO v predmetnej veci, poskyto</w:t>
      </w:r>
      <w:r w:rsidR="007F4E20">
        <w:t xml:space="preserve">vateľ zašle </w:t>
      </w:r>
      <w:r w:rsidR="00A30050" w:rsidRPr="00A30050">
        <w:t>v lehote 15 pracovných dní o</w:t>
      </w:r>
      <w:r w:rsidR="003716E4">
        <w:t>do dňa</w:t>
      </w:r>
      <w:r w:rsidR="00A30050" w:rsidRPr="00A30050">
        <w:t xml:space="preserve"> doručenia právoplatného rozhodnutia ÚVO </w:t>
      </w:r>
      <w:r w:rsidR="007F4E20">
        <w:t>prijímateľovi návrh</w:t>
      </w:r>
      <w:r w:rsidRPr="007B2419">
        <w:t xml:space="preserve"> správy</w:t>
      </w:r>
      <w:r w:rsidR="00A30050">
        <w:t>/správu z kontroly VO</w:t>
      </w:r>
      <w:r w:rsidRPr="007B2419">
        <w:t xml:space="preserve">. </w:t>
      </w:r>
    </w:p>
    <w:p w14:paraId="7AFE249B" w14:textId="28E77AF6" w:rsidR="007B2419" w:rsidRPr="007B2419" w:rsidRDefault="007B2419" w:rsidP="007B2419">
      <w:pPr>
        <w:spacing w:before="120" w:after="120" w:line="288" w:lineRule="auto"/>
        <w:jc w:val="both"/>
      </w:pPr>
      <w:r w:rsidRPr="007B2419">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w:t>
      </w:r>
      <w:r w:rsidRPr="007B2419">
        <w:lastRenderedPageBreak/>
        <w:t xml:space="preserve">neodstránil protiprávny stav, vypracuje poskytovateľ </w:t>
      </w:r>
      <w:r w:rsidR="00A30050" w:rsidRPr="007B2419">
        <w:t>správ</w:t>
      </w:r>
      <w:r w:rsidR="00A30050">
        <w:t>u</w:t>
      </w:r>
      <w:r w:rsidR="00A30050" w:rsidRPr="007B2419">
        <w:t xml:space="preserve"> </w:t>
      </w:r>
      <w:r w:rsidRPr="007B2419">
        <w:t>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3"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4" w:history="1">
        <w:r w:rsidRPr="007B2419">
          <w:rPr>
            <w:rStyle w:val="Hypertextovprepojenie"/>
          </w:rPr>
          <w:t>vo.sep@minv.sk</w:t>
        </w:r>
      </w:hyperlink>
      <w:r w:rsidRPr="007B2419">
        <w:t>).</w:t>
      </w: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dávania zákazky s využitím elektronického trhoviska sa dokumentácia predkladá vo fáze po vygenerovaní výslednej zmluvy príslušným elektronickým informačným systémom, po jej zverejnení v zmysle zákona o  slobode informácií  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lastRenderedPageBreak/>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2"/>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3"/>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lastRenderedPageBreak/>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4"/>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64A958BC"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5"/>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6"/>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 xml:space="preserve">Ak poskytovateľ identifikuje nedostatky v procese VO, preruší kontrolu VO a vyzve prijímateľa v návrhu správy z kontroly VO v primeranej lehote na odstránenie nedostatkov, zapracovanie pripomienok, zdôvodnenie </w:t>
      </w:r>
      <w:r w:rsidRPr="00B8656C">
        <w:rPr>
          <w:rFonts w:cs="Arial"/>
          <w:szCs w:val="19"/>
        </w:rPr>
        <w:lastRenderedPageBreak/>
        <w:t>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w:t>
      </w:r>
      <w:r w:rsidRPr="0073389C">
        <w:lastRenderedPageBreak/>
        <w:t xml:space="preserve">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7"/>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xml:space="preserve">. Až po kontrole tohto oznámenia a posúdení oprávnenosti použitia priameho rokovacieho konania je prijímateľ oprávnený začať realizovať tento postup. Po skončení procesov v rámci postupu priameho rokovacieho </w:t>
      </w:r>
      <w:r w:rsidRPr="009F4290">
        <w:lastRenderedPageBreak/>
        <w:t>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98"/>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w:t>
      </w:r>
      <w:r w:rsidRPr="00963E0D">
        <w:rPr>
          <w:rFonts w:cs="Arial"/>
          <w:szCs w:val="19"/>
        </w:rPr>
        <w:lastRenderedPageBreak/>
        <w:t xml:space="preserve">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B51B0A" w14:textId="77777777" w:rsidR="008F2958" w:rsidRPr="008F2958" w:rsidRDefault="008F2958" w:rsidP="008F2958">
      <w:pPr>
        <w:tabs>
          <w:tab w:val="left" w:pos="1014"/>
        </w:tabs>
        <w:spacing w:before="120" w:after="120" w:line="288" w:lineRule="auto"/>
        <w:jc w:val="both"/>
      </w:pPr>
      <w:r w:rsidRPr="008F2958">
        <w:t>Prijímateľ predkladá čiastkové zmluvy uzavreté na základe rámcovej dohody realizovanej podľa zákona č. 25/2006 Z.z. na kontrolu podľa Príručky pre verejné obstarávanie verzie 1.4. Čiastkové zmluvy uzavreté na základe rámcovej dohody realizovanej podľa zákona č. 343/2015 Z.z. predkladá prijímateľ na kontrolu podľa Príručky pre verejné obstarávanie verzie 1.5. a nasledovných.</w:t>
      </w:r>
    </w:p>
    <w:p w14:paraId="6DDB5953" w14:textId="0E342AE8" w:rsidR="008F2958" w:rsidRPr="008F2958" w:rsidRDefault="008F2958" w:rsidP="001F7F84">
      <w:pPr>
        <w:numPr>
          <w:ilvl w:val="0"/>
          <w:numId w:val="117"/>
        </w:numPr>
        <w:tabs>
          <w:tab w:val="left" w:pos="1014"/>
        </w:tabs>
        <w:spacing w:line="288" w:lineRule="auto"/>
        <w:jc w:val="both"/>
      </w:pPr>
      <w:r w:rsidRPr="008F2958">
        <w:t>Poskytovateľ vykonáva kontrolu čiastkových zmlúv ako:</w:t>
      </w:r>
      <w:r>
        <w:t xml:space="preserve"> </w:t>
      </w:r>
      <w:r w:rsidRPr="008F2958">
        <w:t>druhú ex-ante kontrolu,</w:t>
      </w:r>
    </w:p>
    <w:p w14:paraId="12FEA763" w14:textId="77777777" w:rsidR="008F2958" w:rsidRPr="008F2958" w:rsidRDefault="008F2958" w:rsidP="001F7F84">
      <w:pPr>
        <w:numPr>
          <w:ilvl w:val="0"/>
          <w:numId w:val="117"/>
        </w:numPr>
        <w:tabs>
          <w:tab w:val="left" w:pos="1014"/>
        </w:tabs>
        <w:spacing w:line="288" w:lineRule="auto"/>
        <w:jc w:val="both"/>
      </w:pPr>
      <w:r w:rsidRPr="008F2958">
        <w:t>následnú ex-post kontrolu alebo</w:t>
      </w:r>
    </w:p>
    <w:p w14:paraId="4E683989" w14:textId="77777777" w:rsidR="008F2958" w:rsidRPr="008F2958" w:rsidRDefault="008F2958" w:rsidP="001F7F84">
      <w:pPr>
        <w:numPr>
          <w:ilvl w:val="0"/>
          <w:numId w:val="117"/>
        </w:numPr>
        <w:tabs>
          <w:tab w:val="left" w:pos="1014"/>
        </w:tabs>
        <w:spacing w:line="288" w:lineRule="auto"/>
        <w:jc w:val="both"/>
      </w:pPr>
      <w:r w:rsidRPr="008F2958">
        <w:t>štandardnú ex-post kontrolu.</w:t>
      </w:r>
    </w:p>
    <w:p w14:paraId="2DE2853F" w14:textId="77777777" w:rsidR="008F2958" w:rsidRDefault="008F2958" w:rsidP="007D11DA">
      <w:pPr>
        <w:tabs>
          <w:tab w:val="left" w:pos="1014"/>
        </w:tabs>
        <w:spacing w:before="120" w:after="120" w:line="288" w:lineRule="auto"/>
        <w:jc w:val="both"/>
      </w:pPr>
    </w:p>
    <w:p w14:paraId="09357208" w14:textId="77777777" w:rsidR="007D11DA" w:rsidRPr="00C12A2D" w:rsidRDefault="007D11DA" w:rsidP="007D11DA">
      <w:pPr>
        <w:tabs>
          <w:tab w:val="left" w:pos="1014"/>
        </w:tabs>
        <w:spacing w:before="120" w:after="120" w:line="288" w:lineRule="auto"/>
        <w:jc w:val="both"/>
      </w:pPr>
      <w:r w:rsidRPr="00C12A2D">
        <w:lastRenderedPageBreak/>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7D11DA">
      <w:pPr>
        <w:pStyle w:val="Odsekzoznamu"/>
        <w:numPr>
          <w:ilvl w:val="0"/>
          <w:numId w:val="94"/>
        </w:numPr>
        <w:spacing w:before="120" w:after="120" w:line="288" w:lineRule="auto"/>
        <w:jc w:val="both"/>
        <w:rPr>
          <w:b/>
        </w:rPr>
      </w:pPr>
      <w:r w:rsidRPr="00697E52">
        <w:rPr>
          <w:b/>
        </w:rPr>
        <w:t>Uzavreté rámcové dohody</w:t>
      </w:r>
    </w:p>
    <w:p w14:paraId="388CBB57" w14:textId="77777777" w:rsidR="007D11DA" w:rsidRDefault="007D11DA" w:rsidP="007D11DA">
      <w:pPr>
        <w:tabs>
          <w:tab w:val="left" w:pos="1014"/>
        </w:tabs>
        <w:spacing w:before="120" w:after="120" w:line="288" w:lineRule="auto"/>
        <w:jc w:val="both"/>
        <w:rPr>
          <w:b/>
        </w:rPr>
      </w:pPr>
    </w:p>
    <w:p w14:paraId="09FBC33D" w14:textId="4FBE22B3" w:rsidR="007D11DA" w:rsidRPr="005F5EA3" w:rsidRDefault="007D11DA" w:rsidP="007D11DA">
      <w:pPr>
        <w:tabs>
          <w:tab w:val="left" w:pos="1014"/>
        </w:tabs>
        <w:spacing w:before="120" w:after="120" w:line="288" w:lineRule="auto"/>
        <w:jc w:val="both"/>
        <w:rPr>
          <w:b/>
        </w:rPr>
      </w:pPr>
      <w:r w:rsidRPr="005F5EA3">
        <w:rPr>
          <w:b/>
        </w:rPr>
        <w:t xml:space="preserve">Čiastková zmluva, ktorej hodnota je rovnaká alebo vyššia ako finančný limit </w:t>
      </w:r>
      <w:r w:rsidR="008F2958" w:rsidRPr="008F2958">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7D11DA">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7D11DA">
      <w:pPr>
        <w:pStyle w:val="Odsekzoznamu"/>
        <w:numPr>
          <w:ilvl w:val="0"/>
          <w:numId w:val="95"/>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53368A13"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w:t>
      </w:r>
      <w:r w:rsidRPr="00721741">
        <w:lastRenderedPageBreak/>
        <w:t xml:space="preserve">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9A73D59" w14:textId="77777777" w:rsidR="007D11DA" w:rsidRDefault="007D11DA" w:rsidP="007D11DA">
      <w:pPr>
        <w:tabs>
          <w:tab w:val="left" w:pos="1014"/>
        </w:tabs>
        <w:spacing w:before="120" w:after="120" w:line="288" w:lineRule="auto"/>
        <w:jc w:val="both"/>
      </w:pPr>
    </w:p>
    <w:p w14:paraId="7FE9586B" w14:textId="4C461746" w:rsidR="007D11DA" w:rsidRPr="00697E52" w:rsidRDefault="007D11DA" w:rsidP="007D11DA">
      <w:pPr>
        <w:tabs>
          <w:tab w:val="left" w:pos="1014"/>
        </w:tabs>
        <w:spacing w:before="120" w:after="120" w:line="288" w:lineRule="auto"/>
        <w:jc w:val="both"/>
        <w:rPr>
          <w:b/>
        </w:rPr>
      </w:pPr>
      <w:r w:rsidRPr="00697E52">
        <w:rPr>
          <w:b/>
        </w:rPr>
        <w:t xml:space="preserve">Čiastková zmluva, ktorej hodnota je nižšia ako finančný limit </w:t>
      </w:r>
      <w:r w:rsidR="00721741" w:rsidRPr="00721741">
        <w:rPr>
          <w:b/>
        </w:rPr>
        <w:t>pre nadlimitnú zákazku v závislosti od typu obstarávajúceho subjektu a predmetu zákazky</w:t>
      </w:r>
      <w:r w:rsidRPr="00697E52">
        <w:rPr>
          <w:b/>
        </w:rPr>
        <w:t xml:space="preserve"> </w:t>
      </w:r>
    </w:p>
    <w:p w14:paraId="35F1FFF3" w14:textId="77777777" w:rsidR="007D11DA" w:rsidRDefault="007D11DA" w:rsidP="007D11DA">
      <w:pPr>
        <w:tabs>
          <w:tab w:val="left" w:pos="1014"/>
        </w:tabs>
        <w:spacing w:before="120" w:after="120" w:line="288" w:lineRule="auto"/>
        <w:jc w:val="both"/>
      </w:pP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7D11DA">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7D11DA">
      <w:pPr>
        <w:pStyle w:val="Odsekzoznamu"/>
        <w:numPr>
          <w:ilvl w:val="0"/>
          <w:numId w:val="95"/>
        </w:numPr>
        <w:tabs>
          <w:tab w:val="left" w:pos="1014"/>
        </w:tabs>
        <w:spacing w:before="120" w:after="120" w:line="288" w:lineRule="auto"/>
        <w:jc w:val="both"/>
      </w:pPr>
      <w:r>
        <w:t>postup vedúci k uzatvoreniu čiastkových zmlúv na základe rámcovej dohody s jedným alebo s viacerými uchádzačmi.</w:t>
      </w:r>
    </w:p>
    <w:p w14:paraId="23B3FF1F"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4B4F0268" w14:textId="77777777" w:rsidR="007D11DA" w:rsidRDefault="007D11DA" w:rsidP="007D11DA">
      <w:pPr>
        <w:tabs>
          <w:tab w:val="left" w:pos="1014"/>
        </w:tabs>
        <w:spacing w:before="120" w:after="120" w:line="288" w:lineRule="auto"/>
        <w:jc w:val="both"/>
      </w:pPr>
    </w:p>
    <w:p w14:paraId="311C27D3" w14:textId="77777777" w:rsidR="007D11DA" w:rsidRPr="00697E52" w:rsidRDefault="007D11DA" w:rsidP="007D11DA">
      <w:pPr>
        <w:pStyle w:val="Odsekzoznamu"/>
        <w:numPr>
          <w:ilvl w:val="0"/>
          <w:numId w:val="94"/>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7D11DA">
      <w:pPr>
        <w:tabs>
          <w:tab w:val="left" w:pos="1014"/>
        </w:tabs>
        <w:spacing w:before="120" w:after="120" w:line="288" w:lineRule="auto"/>
        <w:jc w:val="both"/>
      </w:pPr>
      <w:r w:rsidRPr="00164E19">
        <w:rPr>
          <w:b/>
        </w:rPr>
        <w:t xml:space="preserve">Čiastková zmluva, ktorej hodnota je rovnaká alebo vyššia ako finančný limit </w:t>
      </w:r>
      <w:r w:rsidR="00721741" w:rsidRPr="00721741">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F7F84">
      <w:pPr>
        <w:pStyle w:val="Odsekzoznamu"/>
        <w:numPr>
          <w:ilvl w:val="0"/>
          <w:numId w:val="95"/>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F7F84">
      <w:pPr>
        <w:pStyle w:val="Odsekzoznamu"/>
        <w:numPr>
          <w:ilvl w:val="0"/>
          <w:numId w:val="95"/>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0ED5EED4" w:rsidR="007D11DA" w:rsidRDefault="007D11DA" w:rsidP="007D11DA">
      <w:pPr>
        <w:tabs>
          <w:tab w:val="left" w:pos="1014"/>
        </w:tabs>
        <w:spacing w:before="120" w:after="120" w:line="288" w:lineRule="auto"/>
        <w:jc w:val="both"/>
      </w:pPr>
      <w:r w:rsidRPr="00164E19">
        <w:rPr>
          <w:b/>
          <w:i/>
          <w:color w:val="FF0000"/>
        </w:rPr>
        <w:lastRenderedPageBreak/>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7D11DA">
      <w:pPr>
        <w:tabs>
          <w:tab w:val="left" w:pos="1014"/>
        </w:tabs>
        <w:spacing w:before="120" w:after="120" w:line="288" w:lineRule="auto"/>
        <w:jc w:val="both"/>
      </w:pPr>
      <w:r w:rsidRPr="00164E19">
        <w:rPr>
          <w:b/>
        </w:rPr>
        <w:t xml:space="preserve">Čiastková zmluva, ktorej hodnota je nižšia ako finančný limit </w:t>
      </w:r>
      <w:r w:rsidR="00721741" w:rsidRPr="00721741">
        <w:rPr>
          <w:b/>
        </w:rPr>
        <w:t>pre nadlimitnú zákazku v závislosti od typu obstarávajúceho subjektu a predmetu zákazky</w:t>
      </w:r>
    </w:p>
    <w:p w14:paraId="419AABE6" w14:textId="77777777" w:rsidR="007D11DA" w:rsidRDefault="007D11DA" w:rsidP="007D11DA">
      <w:pPr>
        <w:tabs>
          <w:tab w:val="left" w:pos="1014"/>
        </w:tabs>
        <w:spacing w:before="120" w:after="120" w:line="288" w:lineRule="auto"/>
        <w:jc w:val="both"/>
      </w:pP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w:t>
      </w:r>
      <w:r w:rsidRPr="00EF596F">
        <w:rPr>
          <w:rFonts w:cs="Arial"/>
          <w:szCs w:val="19"/>
        </w:rPr>
        <w:lastRenderedPageBreak/>
        <w:t xml:space="preserve">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lastRenderedPageBreak/>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5"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3FC3AF08" w14:textId="77777777"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7777777"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F7F84">
      <w:pPr>
        <w:pStyle w:val="Odsekzoznamu"/>
        <w:numPr>
          <w:ilvl w:val="0"/>
          <w:numId w:val="119"/>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F7F84">
      <w:pPr>
        <w:pStyle w:val="Odsekzoznamu"/>
        <w:numPr>
          <w:ilvl w:val="0"/>
          <w:numId w:val="119"/>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F7F84">
      <w:pPr>
        <w:pStyle w:val="Odsekzoznamu"/>
        <w:numPr>
          <w:ilvl w:val="0"/>
          <w:numId w:val="119"/>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F7F84">
      <w:pPr>
        <w:pStyle w:val="Odsekzoznamu"/>
        <w:numPr>
          <w:ilvl w:val="0"/>
          <w:numId w:val="119"/>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F7F84">
      <w:pPr>
        <w:pStyle w:val="Odsekzoznamu"/>
        <w:numPr>
          <w:ilvl w:val="0"/>
          <w:numId w:val="119"/>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lastRenderedPageBreak/>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 xml:space="preserve">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w:t>
      </w:r>
      <w:r w:rsidR="00BE69D2" w:rsidRPr="00BE69D2">
        <w:lastRenderedPageBreak/>
        <w:t>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20FED">
      <w:pPr>
        <w:pStyle w:val="Odsekzoznamu"/>
        <w:numPr>
          <w:ilvl w:val="0"/>
          <w:numId w:val="43"/>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99"/>
      </w:r>
      <w:r w:rsidRPr="0073389C">
        <w:t xml:space="preserve"> vrátenie poskytnutého príspevku resp. jeho časti.</w:t>
      </w:r>
    </w:p>
    <w:p w14:paraId="7A55D325" w14:textId="42A965C1"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F7F84">
      <w:pPr>
        <w:pStyle w:val="Odsekzoznamu"/>
        <w:numPr>
          <w:ilvl w:val="0"/>
          <w:numId w:val="12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F7F84">
      <w:pPr>
        <w:pStyle w:val="Odsekzoznamu"/>
        <w:numPr>
          <w:ilvl w:val="0"/>
          <w:numId w:val="12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w:t>
      </w:r>
      <w:r w:rsidRPr="0073389C">
        <w:lastRenderedPageBreak/>
        <w:t xml:space="preserve">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9A78AB">
      <w:pPr>
        <w:numPr>
          <w:ilvl w:val="0"/>
          <w:numId w:val="90"/>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07E96980"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w:t>
      </w:r>
      <w:r w:rsidRPr="0073389C">
        <w:rPr>
          <w:rFonts w:cs="Arial"/>
          <w:szCs w:val="19"/>
        </w:rPr>
        <w:lastRenderedPageBreak/>
        <w:t xml:space="preserve">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51B66CFF" w14:textId="2330F4F4" w:rsidR="008D1C11" w:rsidRPr="00927D81" w:rsidRDefault="00927D81"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927D81">
        <w:rPr>
          <w:rFonts w:cs="Arial"/>
          <w:b/>
          <w:i/>
          <w:szCs w:val="19"/>
        </w:rPr>
        <w:t xml:space="preserve">Dôležité upozornenie: </w:t>
      </w:r>
      <w:r w:rsidRPr="00927D81">
        <w:rPr>
          <w:rFonts w:cs="Arial"/>
          <w:szCs w:val="19"/>
        </w:rPr>
        <w: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t>
      </w:r>
      <w:r w:rsidRPr="00602CB7">
        <w:rPr>
          <w:rFonts w:cs="Arial"/>
          <w:szCs w:val="19"/>
        </w:rPr>
        <w:t xml:space="preserve"> a zároveň predložil uvedenú zákazku na kontrolu </w:t>
      </w:r>
      <w:r>
        <w:rPr>
          <w:rFonts w:cs="Arial"/>
          <w:szCs w:val="19"/>
        </w:rPr>
        <w:t>poskytovateľovi</w:t>
      </w:r>
      <w:r w:rsidRPr="00927D81">
        <w:rPr>
          <w:rFonts w:cs="Arial"/>
          <w:szCs w:val="19"/>
        </w:rPr>
        <w:t xml:space="preserve"> až na štandardnú ex-post kontrolu po </w:t>
      </w:r>
      <w:r w:rsidR="00120FED">
        <w:rPr>
          <w:rFonts w:cs="Arial"/>
          <w:szCs w:val="19"/>
        </w:rPr>
        <w:t xml:space="preserve">nadobudnutí </w:t>
      </w:r>
      <w:r w:rsidRPr="00927D81">
        <w:rPr>
          <w:rFonts w:cs="Arial"/>
          <w:szCs w:val="19"/>
        </w:rPr>
        <w:t xml:space="preserve">účinnosti zmluvy s dodávateľom,  bude prijímateľovi v zmysle </w:t>
      </w:r>
      <w:r w:rsidRPr="001F7F84">
        <w:rPr>
          <w:rFonts w:cs="Arial"/>
          <w:szCs w:val="19"/>
        </w:rPr>
        <w:t>Metodického pokynu č. 5 k určovaniu finančných opráv, ktoré má riadiaci orgán uplatňovať pri nedodržaní pravidiel a postupov verejného obstarávania za uvedené porušenie ZVO</w:t>
      </w:r>
      <w:r w:rsidRPr="00927D81">
        <w:rPr>
          <w:rFonts w:cs="Arial"/>
          <w:szCs w:val="19"/>
        </w:rPr>
        <w:t xml:space="preserve"> udelená finančná oprava vo výške 5 % z deklarovaných/oprávnených  výdavkov projektu.</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lastRenderedPageBreak/>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lastRenderedPageBreak/>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5A1D7B2E"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lastRenderedPageBreak/>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380B6B9A"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w:t>
      </w:r>
      <w:r w:rsidRPr="0073389C">
        <w:lastRenderedPageBreak/>
        <w:t xml:space="preserve">lehotu na realizáciu zmluvy a miesto jej realizácie), kritériá na vyhodnotenie ponúk, presnú lehotu a adresu na predkladanie ponúk. </w:t>
      </w:r>
    </w:p>
    <w:p w14:paraId="7A55D33A" w14:textId="7E773D2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6" w:history="1">
        <w:r w:rsidR="00D76DD9" w:rsidRPr="00B76EA0">
          <w:rPr>
            <w:rStyle w:val="Hypertextovprepojenie"/>
          </w:rPr>
          <w:t>vo.sep@minv.sk</w:t>
        </w:r>
      </w:hyperlink>
      <w:r w:rsidR="001D3CAE" w:rsidRPr="001E3C46">
        <w:rPr>
          <w:color w:val="EEECE1" w:themeColor="background2"/>
        </w:rPr>
        <w:t xml:space="preserve"> </w:t>
      </w:r>
      <w:r w:rsidR="000E5863" w:rsidRPr="000E5863">
        <w:rPr>
          <w:color w:val="EEECE1" w:themeColor="background2"/>
          <w:u w:val="single"/>
        </w:rPr>
        <w:t xml:space="preserve">V prípade, ak prijímateľ opomenie zaslať e-mailovú informáciu o zverejnení výzvy na súťaž na e-mail </w:t>
      </w:r>
      <w:hyperlink r:id="rId27" w:history="1">
        <w:r w:rsidR="000E5863" w:rsidRPr="000E5863">
          <w:rPr>
            <w:rStyle w:val="Hypertextovprepojenie"/>
          </w:rPr>
          <w:t>vo.sep@minv.sk</w:t>
        </w:r>
      </w:hyperlink>
      <w:r w:rsidR="000E5863" w:rsidRPr="000E5863">
        <w:rPr>
          <w:color w:val="EEECE1" w:themeColor="background2"/>
          <w:u w:val="single"/>
        </w:rPr>
        <w:t>, nebude to dôvodom na vylúčenie výdavkov, týkajúcich sa obstarávanej zákazky, z financovania v plnej miere</w:t>
      </w:r>
      <w:r w:rsidR="000E5863">
        <w:rPr>
          <w:color w:val="EEECE1" w:themeColor="background2"/>
          <w:u w:val="single"/>
        </w:rPr>
        <w:t>.</w:t>
      </w:r>
      <w:r w:rsidR="000E5863" w:rsidRPr="000E5863">
        <w:rPr>
          <w:b/>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w:t>
      </w:r>
      <w:r w:rsidRPr="0073389C">
        <w:lastRenderedPageBreak/>
        <w:t xml:space="preserve">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9A78AB">
      <w:pPr>
        <w:pStyle w:val="Odsekzoznamu"/>
        <w:numPr>
          <w:ilvl w:val="0"/>
          <w:numId w:val="44"/>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3F2C9E3F"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25F3BB6B" w14:textId="77777777" w:rsidR="00D642ED" w:rsidRDefault="00D642ED" w:rsidP="009D7F63">
      <w:pPr>
        <w:autoSpaceDE w:val="0"/>
        <w:autoSpaceDN w:val="0"/>
        <w:adjustRightInd w:val="0"/>
        <w:spacing w:before="120" w:after="120" w:line="288" w:lineRule="auto"/>
        <w:jc w:val="both"/>
      </w:pPr>
      <w:r w:rsidRPr="00D642ED">
        <w:t xml:space="preserve">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w:t>
      </w:r>
      <w:r w:rsidRPr="00D642ED">
        <w:lastRenderedPageBreak/>
        <w:t>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312317">
      <w:pPr>
        <w:pStyle w:val="Odsekzoznamu"/>
        <w:numPr>
          <w:ilvl w:val="0"/>
          <w:numId w:val="12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F7F84">
      <w:pPr>
        <w:pStyle w:val="Odsekzoznamu"/>
        <w:numPr>
          <w:ilvl w:val="0"/>
          <w:numId w:val="12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F7F84">
      <w:pPr>
        <w:pStyle w:val="Odsekzoznamu"/>
        <w:numPr>
          <w:ilvl w:val="0"/>
          <w:numId w:val="12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lastRenderedPageBreak/>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w:t>
      </w:r>
      <w:r w:rsidRPr="0073389C">
        <w:lastRenderedPageBreak/>
        <w:t xml:space="preserve">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lastRenderedPageBreak/>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0"/>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1"/>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2"/>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3"/>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9A78AB">
            <w:pPr>
              <w:pStyle w:val="Odsekzoznamu"/>
              <w:numPr>
                <w:ilvl w:val="0"/>
                <w:numId w:val="46"/>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lastRenderedPageBreak/>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lastRenderedPageBreak/>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771817">
            <w:pPr>
              <w:pStyle w:val="Odsekzoznamu"/>
              <w:keepNext/>
              <w:keepLines/>
              <w:numPr>
                <w:ilvl w:val="0"/>
                <w:numId w:val="47"/>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771817">
            <w:pPr>
              <w:pStyle w:val="Odsekzoznamu"/>
              <w:keepNext/>
              <w:keepLines/>
              <w:numPr>
                <w:ilvl w:val="0"/>
                <w:numId w:val="47"/>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lastRenderedPageBreak/>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w:t>
            </w:r>
            <w:r w:rsidRPr="0073389C">
              <w:lastRenderedPageBreak/>
              <w:t xml:space="preserve">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zmena sa týka referenčného rámca, technických špecifikácií;</w:t>
            </w:r>
          </w:p>
          <w:p w14:paraId="7A55D463"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4"/>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w:t>
      </w:r>
      <w:r w:rsidRPr="0073389C">
        <w:lastRenderedPageBreak/>
        <w:t>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 xml:space="preserve">Prijatím nenávratného finančného príspevku prijímateľ súčasne vyjadruje súhlas so začlenením do zoznamu prijímateľov pre účely informovania a komunikácie. Prijímateľ zároveň súhlasí so zverejnením nasledovných </w:t>
      </w:r>
      <w:r w:rsidRPr="0073389C">
        <w:lastRenderedPageBreak/>
        <w:t>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w:t>
      </w:r>
      <w:r w:rsidRPr="00A11D9F">
        <w:rPr>
          <w:rFonts w:ascii="Arial" w:hAnsi="Arial" w:cs="Arial"/>
          <w:sz w:val="19"/>
          <w:szCs w:val="19"/>
          <w:lang w:val="sk-SK"/>
        </w:rPr>
        <w:lastRenderedPageBreak/>
        <w:t>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lastRenderedPageBreak/>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lastRenderedPageBreak/>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771817">
      <w:pPr>
        <w:pStyle w:val="Default"/>
        <w:numPr>
          <w:ilvl w:val="1"/>
          <w:numId w:val="114"/>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5F54541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9A78AB">
      <w:pPr>
        <w:pStyle w:val="Default"/>
        <w:numPr>
          <w:ilvl w:val="0"/>
          <w:numId w:val="98"/>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9A78AB">
      <w:pPr>
        <w:pStyle w:val="Default"/>
        <w:numPr>
          <w:ilvl w:val="0"/>
          <w:numId w:val="43"/>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9A78AB">
      <w:pPr>
        <w:pStyle w:val="Default"/>
        <w:numPr>
          <w:ilvl w:val="0"/>
          <w:numId w:val="99"/>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68C4C742" w14:textId="268D41BE" w:rsidR="00200264" w:rsidRPr="00200264" w:rsidRDefault="00200264" w:rsidP="00200264">
      <w:pPr>
        <w:pStyle w:val="Textkomentra"/>
        <w:numPr>
          <w:ilvl w:val="0"/>
          <w:numId w:val="99"/>
        </w:numPr>
        <w:rPr>
          <w:lang w:val="sk-SK"/>
        </w:rPr>
      </w:pPr>
      <w:r>
        <w:rPr>
          <w:lang w:val="sk-SK"/>
        </w:rPr>
        <w:t>Prevodník obstaraných položiek k rozpočtu projektu</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9"/>
      <w:footerReference w:type="first" r:id="rId30"/>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113A0" w14:textId="77777777" w:rsidR="0052260B" w:rsidRDefault="0052260B">
      <w:r>
        <w:separator/>
      </w:r>
    </w:p>
    <w:p w14:paraId="469AD424" w14:textId="77777777" w:rsidR="0052260B" w:rsidRDefault="0052260B"/>
  </w:endnote>
  <w:endnote w:type="continuationSeparator" w:id="0">
    <w:p w14:paraId="0F0DAF13" w14:textId="77777777" w:rsidR="0052260B" w:rsidRDefault="0052260B">
      <w:r>
        <w:continuationSeparator/>
      </w:r>
    </w:p>
    <w:p w14:paraId="1B021E8E" w14:textId="77777777" w:rsidR="0052260B" w:rsidRDefault="0052260B"/>
  </w:endnote>
  <w:endnote w:type="continuationNotice" w:id="1">
    <w:p w14:paraId="2D02403D" w14:textId="77777777" w:rsidR="0052260B" w:rsidRDefault="005226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4327C6" w:rsidRDefault="004327C6">
    <w:pPr>
      <w:pStyle w:val="Pta"/>
      <w:jc w:val="right"/>
    </w:pPr>
    <w:r>
      <w:fldChar w:fldCharType="begin"/>
    </w:r>
    <w:r>
      <w:instrText xml:space="preserve"> PAGE   \* MERGEFORMAT </w:instrText>
    </w:r>
    <w:r>
      <w:fldChar w:fldCharType="separate"/>
    </w:r>
    <w:r w:rsidR="00D630B1">
      <w:rPr>
        <w:noProof/>
      </w:rPr>
      <w:t>95</w:t>
    </w:r>
    <w:r>
      <w:rPr>
        <w:noProof/>
      </w:rPr>
      <w:fldChar w:fldCharType="end"/>
    </w:r>
  </w:p>
  <w:p w14:paraId="5596B515" w14:textId="77777777" w:rsidR="004327C6" w:rsidRPr="003530AF" w:rsidRDefault="004327C6"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4327C6" w:rsidRDefault="004327C6">
        <w:pPr>
          <w:pStyle w:val="Pta"/>
          <w:jc w:val="right"/>
        </w:pPr>
        <w:r>
          <w:fldChar w:fldCharType="begin"/>
        </w:r>
        <w:r>
          <w:instrText>PAGE   \* MERGEFORMAT</w:instrText>
        </w:r>
        <w:r>
          <w:fldChar w:fldCharType="separate"/>
        </w:r>
        <w:r w:rsidR="00D630B1" w:rsidRPr="00D630B1">
          <w:rPr>
            <w:noProof/>
            <w:lang w:val="sk-SK"/>
          </w:rPr>
          <w:t>1</w:t>
        </w:r>
        <w:r>
          <w:fldChar w:fldCharType="end"/>
        </w:r>
      </w:p>
    </w:sdtContent>
  </w:sdt>
  <w:p w14:paraId="3B48FDCA" w14:textId="77777777" w:rsidR="004327C6" w:rsidRDefault="004327C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E8CCD" w14:textId="77777777" w:rsidR="0052260B" w:rsidRDefault="0052260B">
      <w:r>
        <w:separator/>
      </w:r>
    </w:p>
    <w:p w14:paraId="75AC6BFC" w14:textId="77777777" w:rsidR="0052260B" w:rsidRDefault="0052260B"/>
  </w:footnote>
  <w:footnote w:type="continuationSeparator" w:id="0">
    <w:p w14:paraId="0AD16727" w14:textId="77777777" w:rsidR="0052260B" w:rsidRDefault="0052260B">
      <w:r>
        <w:continuationSeparator/>
      </w:r>
    </w:p>
    <w:p w14:paraId="1E6F0CD3" w14:textId="77777777" w:rsidR="0052260B" w:rsidRDefault="0052260B"/>
  </w:footnote>
  <w:footnote w:type="continuationNotice" w:id="1">
    <w:p w14:paraId="6691750F" w14:textId="77777777" w:rsidR="0052260B" w:rsidRDefault="0052260B"/>
  </w:footnote>
  <w:footnote w:id="2">
    <w:p w14:paraId="7A55D546" w14:textId="77777777" w:rsidR="004327C6" w:rsidRPr="009D7F63" w:rsidRDefault="004327C6"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4327C6" w:rsidRPr="009D7F63" w:rsidRDefault="004327C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4327C6" w:rsidRPr="009D7F63" w:rsidRDefault="004327C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4327C6" w:rsidRPr="00587015" w:rsidRDefault="004327C6"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4327C6" w:rsidRPr="009D7F63" w:rsidRDefault="004327C6"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4327C6" w:rsidRPr="00E25071" w:rsidRDefault="004327C6"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4327C6" w:rsidRPr="009D7F63" w:rsidRDefault="004327C6"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4327C6" w:rsidRPr="009D7F63" w:rsidRDefault="004327C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4327C6" w:rsidRPr="007D7535" w:rsidRDefault="004327C6"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4327C6" w:rsidRPr="009D7F63" w:rsidRDefault="004327C6"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4327C6" w:rsidRPr="009D7F63" w:rsidRDefault="004327C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4327C6" w:rsidRPr="009D7F63" w:rsidRDefault="004327C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4327C6" w:rsidRPr="009D7F63" w:rsidRDefault="004327C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4327C6" w:rsidRPr="009D7F63" w:rsidRDefault="004327C6"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4327C6" w:rsidRPr="009D7F63" w:rsidRDefault="004327C6"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4327C6" w:rsidRPr="009D7F63" w:rsidRDefault="004327C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4327C6" w:rsidRPr="009D7F63" w:rsidRDefault="004327C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4327C6" w:rsidRPr="009D7F63" w:rsidRDefault="004327C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4327C6" w:rsidRPr="00041D2E" w:rsidRDefault="004327C6" w:rsidP="00041D2E">
      <w:pPr>
        <w:pStyle w:val="Textpoznmkypodiarou"/>
        <w:rPr>
          <w:lang w:val="sk-SK"/>
        </w:rPr>
      </w:pPr>
      <w:r w:rsidRPr="009D7F63">
        <w:rPr>
          <w:rFonts w:cs="Arial"/>
          <w:szCs w:val="16"/>
          <w:lang w:val="sk-SK" w:eastAsia="cs-CZ"/>
        </w:rPr>
        <w:t>4. pohonné hmoty.</w:t>
      </w:r>
    </w:p>
  </w:footnote>
  <w:footnote w:id="13">
    <w:p w14:paraId="7A55D551" w14:textId="77777777" w:rsidR="004327C6" w:rsidRPr="009D7F63" w:rsidRDefault="004327C6"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4327C6" w:rsidRPr="009D7F63" w:rsidRDefault="004327C6"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4327C6" w:rsidRPr="009D7F63" w:rsidRDefault="004327C6"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4327C6" w:rsidRDefault="004327C6"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4327C6" w:rsidRPr="009D7F63" w:rsidRDefault="004327C6">
      <w:pPr>
        <w:pStyle w:val="Textpoznmkypodiarou"/>
        <w:rPr>
          <w:rFonts w:cs="Arial"/>
          <w:szCs w:val="16"/>
          <w:lang w:val="sk-SK"/>
        </w:rPr>
      </w:pPr>
    </w:p>
  </w:footnote>
  <w:footnote w:id="17">
    <w:p w14:paraId="7A55D555" w14:textId="77777777" w:rsidR="004327C6" w:rsidRPr="009D7F63" w:rsidRDefault="004327C6"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14:paraId="0274D41C" w14:textId="77777777" w:rsidR="004327C6" w:rsidRPr="006E4CC8" w:rsidRDefault="004327C6"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4327C6" w:rsidRPr="007F7349" w:rsidRDefault="004327C6" w:rsidP="009A78AB">
      <w:pPr>
        <w:pStyle w:val="Odsekzoznamu"/>
        <w:numPr>
          <w:ilvl w:val="0"/>
          <w:numId w:val="92"/>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4327C6" w:rsidRPr="007F7349" w:rsidRDefault="004327C6" w:rsidP="009A78AB">
      <w:pPr>
        <w:pStyle w:val="Odsekzoznamu"/>
        <w:numPr>
          <w:ilvl w:val="0"/>
          <w:numId w:val="92"/>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4327C6" w:rsidRPr="007F7349" w:rsidRDefault="004327C6" w:rsidP="009A78AB">
      <w:pPr>
        <w:pStyle w:val="Odsekzoznamu"/>
        <w:numPr>
          <w:ilvl w:val="0"/>
          <w:numId w:val="92"/>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4327C6" w:rsidRPr="00F41F62" w:rsidRDefault="004327C6"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4327C6" w:rsidRPr="009D7F63" w:rsidRDefault="004327C6"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4FEE481D" w14:textId="479E076B" w:rsidR="004327C6" w:rsidRPr="004F28ED" w:rsidRDefault="004327C6">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1">
    <w:p w14:paraId="3B927676" w14:textId="0B338479" w:rsidR="004327C6" w:rsidRPr="00965E93" w:rsidRDefault="004327C6"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2">
    <w:p w14:paraId="7A55D557" w14:textId="52DFEF6A" w:rsidR="004327C6" w:rsidRPr="009D7F63" w:rsidRDefault="004327C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3">
    <w:p w14:paraId="7A55D558" w14:textId="77777777" w:rsidR="004327C6" w:rsidRPr="009D7F63" w:rsidRDefault="004327C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4">
    <w:p w14:paraId="17C29017" w14:textId="77777777" w:rsidR="004327C6" w:rsidRPr="009D7F63" w:rsidRDefault="004327C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5">
    <w:p w14:paraId="7A55D559" w14:textId="77777777" w:rsidR="004327C6" w:rsidRPr="009D7F63" w:rsidRDefault="004327C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4327C6" w:rsidRPr="009D7F63" w:rsidRDefault="004327C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6">
    <w:p w14:paraId="7A55D55B" w14:textId="77777777" w:rsidR="004327C6" w:rsidRPr="009D7F63" w:rsidRDefault="004327C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7">
    <w:p w14:paraId="7A55D55C" w14:textId="77777777" w:rsidR="004327C6" w:rsidRPr="009D7F63" w:rsidRDefault="004327C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8">
    <w:p w14:paraId="7A55D55D" w14:textId="77777777" w:rsidR="004327C6" w:rsidRPr="009D7F63" w:rsidRDefault="004327C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4327C6" w:rsidRPr="009D7F63" w:rsidRDefault="004327C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9">
    <w:p w14:paraId="7A55D55F" w14:textId="333E477A" w:rsidR="004327C6" w:rsidRPr="00062F88" w:rsidRDefault="004327C6"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0">
    <w:p w14:paraId="02F4C726" w14:textId="77777777" w:rsidR="004327C6" w:rsidRDefault="004327C6" w:rsidP="009B4AEF">
      <w:pPr>
        <w:pStyle w:val="Textpoznmkypodiarou"/>
        <w:jc w:val="both"/>
      </w:pPr>
      <w:r>
        <w:rPr>
          <w:rStyle w:val="Odkaznapoznmkupodiarou"/>
        </w:rPr>
        <w:footnoteRef/>
      </w:r>
      <w:r>
        <w:t xml:space="preserve"> Priznanie odmeny príslušnému zamestnancovi musí byť náležite zdôvodnené.</w:t>
      </w:r>
    </w:p>
  </w:footnote>
  <w:footnote w:id="31">
    <w:p w14:paraId="0388B3E2" w14:textId="4D28868F" w:rsidR="004327C6" w:rsidRDefault="004327C6"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2">
    <w:p w14:paraId="2E6985A0" w14:textId="77777777" w:rsidR="004327C6" w:rsidRDefault="004327C6"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3">
    <w:p w14:paraId="7A55D560" w14:textId="5738DA04" w:rsidR="004327C6" w:rsidRPr="00027286" w:rsidRDefault="004327C6"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4">
    <w:p w14:paraId="15B0D0EB" w14:textId="3E15725B" w:rsidR="004327C6" w:rsidRPr="00AF0A84" w:rsidRDefault="004327C6">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5">
    <w:p w14:paraId="7A55D564" w14:textId="77777777" w:rsidR="004327C6" w:rsidRPr="009D7F63" w:rsidRDefault="004327C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6">
    <w:p w14:paraId="6A48E5FC" w14:textId="67F6A6F7" w:rsidR="004327C6" w:rsidRPr="00B275B2" w:rsidRDefault="004327C6"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7">
    <w:p w14:paraId="75442DCC" w14:textId="77777777" w:rsidR="004327C6" w:rsidRPr="001277DD" w:rsidRDefault="004327C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38">
    <w:p w14:paraId="539DE3AB" w14:textId="77777777" w:rsidR="004327C6" w:rsidRPr="001277DD" w:rsidRDefault="004327C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39">
    <w:p w14:paraId="6B33FB00" w14:textId="77777777" w:rsidR="004327C6" w:rsidRPr="001277DD" w:rsidRDefault="004327C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0">
    <w:p w14:paraId="44310DB6" w14:textId="77777777" w:rsidR="004327C6" w:rsidRPr="001277DD" w:rsidRDefault="004327C6"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1">
    <w:p w14:paraId="28E7C95F" w14:textId="0B437969" w:rsidR="004327C6" w:rsidRPr="001277DD" w:rsidRDefault="004327C6"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2">
    <w:p w14:paraId="250CEFBD" w14:textId="33B32087" w:rsidR="004327C6" w:rsidRPr="00923BC1" w:rsidRDefault="004327C6"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3">
    <w:p w14:paraId="414F1A43" w14:textId="265724BA" w:rsidR="004327C6" w:rsidRPr="00772F95" w:rsidRDefault="004327C6"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4">
    <w:p w14:paraId="0C4735BA" w14:textId="1928CC24" w:rsidR="004327C6" w:rsidRPr="008A522F" w:rsidRDefault="004327C6"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5">
    <w:p w14:paraId="038A96C2" w14:textId="13120178" w:rsidR="004327C6" w:rsidRPr="00CE0C11" w:rsidRDefault="004327C6"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6">
    <w:p w14:paraId="59C496F8" w14:textId="77777777" w:rsidR="004327C6" w:rsidRPr="00621D47" w:rsidRDefault="004327C6"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7">
    <w:p w14:paraId="70BE8EFD" w14:textId="4D3737B4" w:rsidR="004327C6" w:rsidRPr="00391F1C" w:rsidRDefault="004327C6"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48">
    <w:p w14:paraId="7A55D567" w14:textId="77777777" w:rsidR="004327C6" w:rsidRPr="009D7F63" w:rsidRDefault="004327C6"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49">
    <w:p w14:paraId="7A55D568" w14:textId="77777777" w:rsidR="004327C6" w:rsidRPr="009D7F63" w:rsidRDefault="004327C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0">
    <w:p w14:paraId="7A55D569" w14:textId="77777777" w:rsidR="004327C6" w:rsidRPr="009D7F63" w:rsidRDefault="004327C6"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1">
    <w:p w14:paraId="7A55D56A" w14:textId="77777777" w:rsidR="004327C6" w:rsidRPr="009D7F63" w:rsidRDefault="004327C6"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2">
    <w:p w14:paraId="7A55D56B" w14:textId="77777777" w:rsidR="004327C6" w:rsidRPr="009D7F63" w:rsidRDefault="004327C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3">
    <w:p w14:paraId="7A55D56E" w14:textId="416A13B1" w:rsidR="004327C6" w:rsidRPr="009D7F63" w:rsidRDefault="004327C6"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4">
    <w:p w14:paraId="7DAB27E8" w14:textId="77777777" w:rsidR="004327C6" w:rsidRPr="00405EED" w:rsidRDefault="004327C6"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5">
    <w:p w14:paraId="7A55D570" w14:textId="36F68E99" w:rsidR="004327C6" w:rsidRPr="009D7F63" w:rsidRDefault="004327C6"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6">
    <w:p w14:paraId="7A55D571" w14:textId="77777777" w:rsidR="004327C6" w:rsidRPr="009D7F63" w:rsidRDefault="004327C6"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7">
    <w:p w14:paraId="7A55D573" w14:textId="77777777" w:rsidR="004327C6" w:rsidRPr="009D7F63" w:rsidRDefault="004327C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58">
    <w:p w14:paraId="7A55D574" w14:textId="77777777" w:rsidR="004327C6" w:rsidRPr="009D7F63" w:rsidRDefault="004327C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59">
    <w:p w14:paraId="7A55D575" w14:textId="2BC95C86" w:rsidR="004327C6" w:rsidRPr="009D7F63" w:rsidRDefault="004327C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0">
    <w:p w14:paraId="7A55D578" w14:textId="77777777" w:rsidR="004327C6" w:rsidRPr="009D7F63" w:rsidRDefault="004327C6"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1">
    <w:p w14:paraId="4F8F3C8B" w14:textId="77777777" w:rsidR="004327C6" w:rsidRPr="009D7F63" w:rsidRDefault="004327C6"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2">
    <w:p w14:paraId="451277DD" w14:textId="77777777" w:rsidR="004327C6" w:rsidRPr="009D7F63" w:rsidRDefault="004327C6"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3">
    <w:p w14:paraId="7A55D579" w14:textId="67088258" w:rsidR="004327C6" w:rsidRPr="009D7F63" w:rsidRDefault="004327C6"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4">
    <w:p w14:paraId="45573155" w14:textId="14B40576" w:rsidR="004327C6" w:rsidRPr="001A7C8D" w:rsidRDefault="004327C6">
      <w:pPr>
        <w:pStyle w:val="Textpoznmkypodiarou"/>
        <w:rPr>
          <w:lang w:val="sk-SK"/>
        </w:rPr>
      </w:pPr>
      <w:r>
        <w:rPr>
          <w:rStyle w:val="Odkaznapoznmkupodiarou"/>
        </w:rPr>
        <w:footnoteRef/>
      </w:r>
      <w:r>
        <w:t xml:space="preserve"> V zmysle ustanovenia § 22 ods. 2 zákona o finančnej kontrole</w:t>
      </w:r>
    </w:p>
  </w:footnote>
  <w:footnote w:id="65">
    <w:p w14:paraId="7A55D57A" w14:textId="77777777" w:rsidR="004327C6" w:rsidRPr="009D7F63" w:rsidRDefault="004327C6"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4327C6" w:rsidRPr="009D7F63" w:rsidRDefault="004327C6">
      <w:pPr>
        <w:pStyle w:val="Textpoznmkypodiarou"/>
        <w:rPr>
          <w:rFonts w:cs="Arial"/>
          <w:szCs w:val="16"/>
          <w:lang w:val="sk-SK"/>
        </w:rPr>
      </w:pPr>
    </w:p>
  </w:footnote>
  <w:footnote w:id="66">
    <w:p w14:paraId="7A55D57C" w14:textId="77777777" w:rsidR="004327C6" w:rsidRPr="009D7F63" w:rsidRDefault="004327C6"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7">
    <w:p w14:paraId="7A55D57D" w14:textId="77777777" w:rsidR="004327C6" w:rsidRPr="009D7F63" w:rsidRDefault="004327C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68">
    <w:p w14:paraId="7A55D57E" w14:textId="77777777" w:rsidR="004327C6" w:rsidRPr="009D7F63" w:rsidRDefault="004327C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69">
    <w:p w14:paraId="7A55D57F" w14:textId="77777777" w:rsidR="004327C6" w:rsidRPr="009D7F63" w:rsidRDefault="004327C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0">
    <w:p w14:paraId="7A55D580" w14:textId="77777777" w:rsidR="004327C6" w:rsidRPr="009D7F63" w:rsidRDefault="004327C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1">
    <w:p w14:paraId="7A55D581" w14:textId="77777777" w:rsidR="004327C6" w:rsidRPr="009D7F63" w:rsidRDefault="004327C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2">
    <w:p w14:paraId="7A55D582" w14:textId="77777777" w:rsidR="004327C6" w:rsidRPr="009D7F63" w:rsidRDefault="004327C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3">
    <w:p w14:paraId="7A55D583" w14:textId="052EABFD" w:rsidR="004327C6" w:rsidRPr="009D7F63" w:rsidRDefault="004327C6"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4327C6" w:rsidRPr="009D7F63" w:rsidRDefault="004327C6"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4327C6" w:rsidRPr="009D7F63" w:rsidRDefault="004327C6"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4327C6" w:rsidRPr="002D4DD9" w:rsidRDefault="004327C6"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4">
    <w:p w14:paraId="7A55D587" w14:textId="77777777" w:rsidR="004327C6" w:rsidRPr="002D4DD9" w:rsidRDefault="004327C6"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5">
    <w:p w14:paraId="7A55D588" w14:textId="4EF420D0" w:rsidR="004327C6" w:rsidRPr="00666AC8" w:rsidRDefault="004327C6"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6">
    <w:p w14:paraId="7A55D589" w14:textId="5F9FD177" w:rsidR="004327C6" w:rsidRPr="002D4DD9" w:rsidRDefault="004327C6"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7">
    <w:p w14:paraId="7A55D58A" w14:textId="010C8D03" w:rsidR="004327C6" w:rsidRPr="002D4DD9" w:rsidRDefault="004327C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8">
    <w:p w14:paraId="7A55D58B" w14:textId="77777777" w:rsidR="004327C6" w:rsidRPr="002D4DD9" w:rsidRDefault="004327C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9">
    <w:p w14:paraId="7A55D58D" w14:textId="03BDB2CD" w:rsidR="004327C6" w:rsidRPr="009D7F63" w:rsidRDefault="004327C6"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0">
    <w:p w14:paraId="7A55D58E" w14:textId="77777777" w:rsidR="004327C6" w:rsidRPr="009D7F63" w:rsidRDefault="004327C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1">
    <w:p w14:paraId="18F68BE6" w14:textId="77777777" w:rsidR="004327C6" w:rsidRPr="009D7F63" w:rsidRDefault="004327C6"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2">
    <w:p w14:paraId="245656D0" w14:textId="34CF1211" w:rsidR="004327C6" w:rsidRPr="009D7F63" w:rsidRDefault="004327C6"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3">
    <w:p w14:paraId="1BAE06D9" w14:textId="3DB56B7A" w:rsidR="004327C6" w:rsidRPr="008D4874" w:rsidRDefault="004327C6">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4">
    <w:p w14:paraId="06A0F700" w14:textId="0A8847BF" w:rsidR="004327C6" w:rsidRPr="00A9227A" w:rsidRDefault="004327C6"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5">
    <w:p w14:paraId="7A55D594" w14:textId="7255982C" w:rsidR="004327C6" w:rsidRPr="009D7F63" w:rsidRDefault="004327C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6">
    <w:p w14:paraId="7A55D597" w14:textId="7291098D" w:rsidR="004327C6" w:rsidRPr="009D7F63" w:rsidRDefault="004327C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7">
    <w:p w14:paraId="7A55D598" w14:textId="1F811B32" w:rsidR="004327C6" w:rsidRPr="009D7F63" w:rsidRDefault="004327C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88">
    <w:p w14:paraId="7A55D599" w14:textId="36FD13E6" w:rsidR="004327C6" w:rsidRPr="009D7F63" w:rsidRDefault="004327C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89">
    <w:p w14:paraId="155B50B0" w14:textId="6BA108FC" w:rsidR="004327C6" w:rsidRPr="001D76D4" w:rsidRDefault="004327C6">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0">
    <w:p w14:paraId="2376272C" w14:textId="0C61265A" w:rsidR="004327C6" w:rsidRDefault="0052260B" w:rsidP="009D7F63">
      <w:pPr>
        <w:pStyle w:val="Textpoznmkypodiarou"/>
        <w:rPr>
          <w:rFonts w:cs="Arial"/>
          <w:szCs w:val="16"/>
          <w:lang w:val="sk-SK"/>
        </w:rPr>
      </w:pPr>
      <w:hyperlink r:id="rId3" w:history="1">
        <w:r w:rsidR="004327C6" w:rsidRPr="00D11568">
          <w:rPr>
            <w:rStyle w:val="Hypertextovprepojenie"/>
            <w:rFonts w:cs="Arial"/>
            <w:sz w:val="16"/>
            <w:szCs w:val="16"/>
            <w:lang w:val="sk-SK"/>
          </w:rPr>
          <w:t>http://www.uvo.gov.sk/legislativametodika-dohlad/metodicke-usmernenia/vseobecne-metodicke-usmernenia-zakon-c-252006-z-z--4bc.html</w:t>
        </w:r>
      </w:hyperlink>
      <w:r w:rsidR="004327C6" w:rsidRPr="00D11568">
        <w:rPr>
          <w:rFonts w:cs="Arial"/>
          <w:szCs w:val="16"/>
          <w:lang w:val="sk-SK"/>
        </w:rPr>
        <w:t xml:space="preserve">  a http://www.uvo.gov.sk/legislativametodika-dohlad/metodicke-usmernenia/vseobecne-metodicke-usmernenia-zakon-c-3432015-z-z--51e.html</w:t>
      </w:r>
      <w:r w:rsidR="004327C6" w:rsidRPr="00D11568" w:rsidDel="00D11568">
        <w:rPr>
          <w:rFonts w:cs="Arial"/>
          <w:szCs w:val="16"/>
          <w:lang w:val="sk-SK"/>
        </w:rPr>
        <w:t xml:space="preserve"> </w:t>
      </w:r>
      <w:r w:rsidR="004327C6" w:rsidRPr="00552EAD">
        <w:rPr>
          <w:rStyle w:val="Odkaznapoznmkupodiarou"/>
          <w:rFonts w:cs="Arial"/>
          <w:szCs w:val="16"/>
          <w:vertAlign w:val="baseline"/>
        </w:rPr>
        <w:t xml:space="preserve"> </w:t>
      </w:r>
      <w:r w:rsidR="004327C6" w:rsidRPr="009D7F63">
        <w:rPr>
          <w:rStyle w:val="Odkaznapoznmkupodiarou"/>
          <w:rFonts w:cs="Arial"/>
          <w:szCs w:val="16"/>
        </w:rPr>
        <w:footnoteRef/>
      </w:r>
    </w:p>
    <w:p w14:paraId="7A55D59A" w14:textId="542F27CA" w:rsidR="004327C6" w:rsidRPr="009D7F63" w:rsidRDefault="004327C6" w:rsidP="009D7F63">
      <w:pPr>
        <w:pStyle w:val="Textpoznmkypodiarou"/>
        <w:rPr>
          <w:rFonts w:cs="Arial"/>
          <w:szCs w:val="16"/>
          <w:lang w:val="sk-SK"/>
        </w:rPr>
      </w:pPr>
    </w:p>
  </w:footnote>
  <w:footnote w:id="91">
    <w:p w14:paraId="7A55D59B" w14:textId="77777777" w:rsidR="004327C6" w:rsidRPr="009D7F63" w:rsidRDefault="004327C6"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4327C6" w:rsidRPr="009D7F63" w:rsidRDefault="004327C6"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4327C6" w:rsidRPr="009D7F63" w:rsidRDefault="004327C6" w:rsidP="009D7F63">
      <w:pPr>
        <w:pStyle w:val="Textpoznmkypodiarou"/>
        <w:rPr>
          <w:rFonts w:cs="Arial"/>
          <w:szCs w:val="16"/>
        </w:rPr>
      </w:pPr>
    </w:p>
  </w:footnote>
  <w:footnote w:id="92">
    <w:p w14:paraId="7758003D" w14:textId="22D7C67A" w:rsidR="004327C6" w:rsidRPr="00E70656" w:rsidRDefault="004327C6">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3">
    <w:p w14:paraId="7A55D59E" w14:textId="77777777" w:rsidR="004327C6" w:rsidRPr="009D7F63" w:rsidRDefault="004327C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4">
    <w:p w14:paraId="7A55D59F" w14:textId="77777777" w:rsidR="004327C6" w:rsidRPr="009D7F63" w:rsidRDefault="004327C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5">
    <w:p w14:paraId="7A55D5A0" w14:textId="77777777" w:rsidR="004327C6" w:rsidRPr="009D7F63" w:rsidRDefault="004327C6"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6">
    <w:p w14:paraId="6D173C29" w14:textId="17D0C2A7" w:rsidR="004327C6" w:rsidRPr="00963E0D" w:rsidRDefault="004327C6">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7">
    <w:p w14:paraId="17304A12" w14:textId="40A4FD60" w:rsidR="004327C6" w:rsidRPr="00963E0D" w:rsidRDefault="004327C6">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98">
    <w:p w14:paraId="169A4593" w14:textId="3DC46A8E" w:rsidR="004327C6" w:rsidRPr="00963E0D" w:rsidRDefault="004327C6">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99">
    <w:p w14:paraId="7A55D5A1" w14:textId="77777777" w:rsidR="004327C6" w:rsidRPr="009D7F63" w:rsidRDefault="004327C6"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0">
    <w:p w14:paraId="2A432946" w14:textId="35C29B09" w:rsidR="004327C6" w:rsidRPr="001325C0" w:rsidRDefault="004327C6">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1">
    <w:p w14:paraId="19A2FB50" w14:textId="3C8C6416" w:rsidR="004327C6" w:rsidRPr="001325C0" w:rsidRDefault="004327C6">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2">
    <w:p w14:paraId="6CF6D88E" w14:textId="77777777" w:rsidR="004327C6" w:rsidRPr="001325C0" w:rsidRDefault="004327C6"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4327C6" w:rsidRPr="001325C0" w:rsidRDefault="004327C6">
      <w:pPr>
        <w:pStyle w:val="Textpoznmkypodiarou"/>
        <w:rPr>
          <w:lang w:val="sk-SK"/>
        </w:rPr>
      </w:pPr>
    </w:p>
  </w:footnote>
  <w:footnote w:id="103">
    <w:p w14:paraId="60152099" w14:textId="6522BB22" w:rsidR="004327C6" w:rsidRPr="00DF0865" w:rsidRDefault="004327C6">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4">
    <w:p w14:paraId="7A55D5A3" w14:textId="77777777" w:rsidR="004327C6" w:rsidRPr="009D7F63" w:rsidRDefault="004327C6"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A60935"/>
    <w:multiLevelType w:val="hybridMultilevel"/>
    <w:tmpl w:val="E94A5CE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C4A3123"/>
    <w:multiLevelType w:val="hybridMultilevel"/>
    <w:tmpl w:val="BE0ECB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6">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2D641F0"/>
    <w:multiLevelType w:val="hybridMultilevel"/>
    <w:tmpl w:val="9A68ED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3">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5">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1">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1">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2">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7">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1">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2">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7">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9">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2">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5">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6">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96E5099"/>
    <w:multiLevelType w:val="hybridMultilevel"/>
    <w:tmpl w:val="D534C4D4"/>
    <w:lvl w:ilvl="0" w:tplc="041B000F">
      <w:start w:val="1"/>
      <w:numFmt w:val="decimal"/>
      <w:lvlText w:val="%1."/>
      <w:lvlJc w:val="left"/>
      <w:pPr>
        <w:ind w:left="720" w:hanging="360"/>
      </w:pPr>
      <w:rPr>
        <w:rFonts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hint="default"/>
        <w:b/>
      </w:rPr>
    </w:lvl>
    <w:lvl w:ilvl="3" w:tplc="6A76C514">
      <w:start w:val="1"/>
      <w:numFmt w:val="decimal"/>
      <w:lvlText w:val="%4."/>
      <w:lvlJc w:val="left"/>
      <w:pPr>
        <w:ind w:left="2880" w:hanging="360"/>
      </w:pPr>
      <w:rPr>
        <w:rFonts w:ascii="Times New Roman" w:eastAsia="Times New Roman" w:hAnsi="Times New Roman" w:cs="Times New Roman"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1">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4">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5">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0">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594B659C"/>
    <w:multiLevelType w:val="hybridMultilevel"/>
    <w:tmpl w:val="E0FCD59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BF93BFA"/>
    <w:multiLevelType w:val="hybridMultilevel"/>
    <w:tmpl w:val="6E38EFA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nsid w:val="634935A9"/>
    <w:multiLevelType w:val="hybridMultilevel"/>
    <w:tmpl w:val="E23CC070"/>
    <w:lvl w:ilvl="0" w:tplc="938A899E">
      <w:start w:val="1"/>
      <w:numFmt w:val="bullet"/>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2">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5">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8">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1">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5">
    <w:nsid w:val="76E27D9A"/>
    <w:multiLevelType w:val="hybridMultilevel"/>
    <w:tmpl w:val="894825C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8"/>
  </w:num>
  <w:num w:numId="2">
    <w:abstractNumId w:val="27"/>
  </w:num>
  <w:num w:numId="3">
    <w:abstractNumId w:val="92"/>
  </w:num>
  <w:num w:numId="4">
    <w:abstractNumId w:val="22"/>
  </w:num>
  <w:num w:numId="5">
    <w:abstractNumId w:val="44"/>
  </w:num>
  <w:num w:numId="6">
    <w:abstractNumId w:val="117"/>
  </w:num>
  <w:num w:numId="7">
    <w:abstractNumId w:val="116"/>
  </w:num>
  <w:num w:numId="8">
    <w:abstractNumId w:val="82"/>
  </w:num>
  <w:num w:numId="9">
    <w:abstractNumId w:val="98"/>
  </w:num>
  <w:num w:numId="10">
    <w:abstractNumId w:val="52"/>
  </w:num>
  <w:num w:numId="11">
    <w:abstractNumId w:val="79"/>
  </w:num>
  <w:num w:numId="12">
    <w:abstractNumId w:val="105"/>
  </w:num>
  <w:num w:numId="13">
    <w:abstractNumId w:val="1"/>
  </w:num>
  <w:num w:numId="14">
    <w:abstractNumId w:val="30"/>
  </w:num>
  <w:num w:numId="15">
    <w:abstractNumId w:val="61"/>
  </w:num>
  <w:num w:numId="16">
    <w:abstractNumId w:val="8"/>
  </w:num>
  <w:num w:numId="17">
    <w:abstractNumId w:val="9"/>
  </w:num>
  <w:num w:numId="18">
    <w:abstractNumId w:val="57"/>
  </w:num>
  <w:num w:numId="19">
    <w:abstractNumId w:val="83"/>
  </w:num>
  <w:num w:numId="20">
    <w:abstractNumId w:val="29"/>
  </w:num>
  <w:num w:numId="21">
    <w:abstractNumId w:val="59"/>
  </w:num>
  <w:num w:numId="22">
    <w:abstractNumId w:val="71"/>
  </w:num>
  <w:num w:numId="23">
    <w:abstractNumId w:val="94"/>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5"/>
  </w:num>
  <w:num w:numId="28">
    <w:abstractNumId w:val="74"/>
  </w:num>
  <w:num w:numId="29">
    <w:abstractNumId w:val="99"/>
  </w:num>
  <w:num w:numId="30">
    <w:abstractNumId w:val="80"/>
  </w:num>
  <w:num w:numId="31">
    <w:abstractNumId w:val="111"/>
  </w:num>
  <w:num w:numId="32">
    <w:abstractNumId w:val="21"/>
  </w:num>
  <w:num w:numId="33">
    <w:abstractNumId w:val="96"/>
  </w:num>
  <w:num w:numId="34">
    <w:abstractNumId w:val="102"/>
  </w:num>
  <w:num w:numId="35">
    <w:abstractNumId w:val="107"/>
  </w:num>
  <w:num w:numId="36">
    <w:abstractNumId w:val="42"/>
  </w:num>
  <w:num w:numId="37">
    <w:abstractNumId w:val="51"/>
  </w:num>
  <w:num w:numId="38">
    <w:abstractNumId w:val="49"/>
  </w:num>
  <w:num w:numId="39">
    <w:abstractNumId w:val="56"/>
  </w:num>
  <w:num w:numId="40">
    <w:abstractNumId w:val="69"/>
  </w:num>
  <w:num w:numId="41">
    <w:abstractNumId w:val="110"/>
  </w:num>
  <w:num w:numId="42">
    <w:abstractNumId w:val="3"/>
  </w:num>
  <w:num w:numId="43">
    <w:abstractNumId w:val="54"/>
  </w:num>
  <w:num w:numId="44">
    <w:abstractNumId w:val="78"/>
  </w:num>
  <w:num w:numId="45">
    <w:abstractNumId w:val="6"/>
  </w:num>
  <w:num w:numId="46">
    <w:abstractNumId w:val="37"/>
  </w:num>
  <w:num w:numId="47">
    <w:abstractNumId w:val="89"/>
  </w:num>
  <w:num w:numId="48">
    <w:abstractNumId w:val="97"/>
  </w:num>
  <w:num w:numId="49">
    <w:abstractNumId w:val="53"/>
  </w:num>
  <w:num w:numId="50">
    <w:abstractNumId w:val="72"/>
  </w:num>
  <w:num w:numId="51">
    <w:abstractNumId w:val="106"/>
  </w:num>
  <w:num w:numId="52">
    <w:abstractNumId w:val="36"/>
  </w:num>
  <w:num w:numId="53">
    <w:abstractNumId w:val="23"/>
  </w:num>
  <w:num w:numId="54">
    <w:abstractNumId w:val="10"/>
  </w:num>
  <w:num w:numId="55">
    <w:abstractNumId w:val="39"/>
  </w:num>
  <w:num w:numId="56">
    <w:abstractNumId w:val="28"/>
  </w:num>
  <w:num w:numId="57">
    <w:abstractNumId w:val="40"/>
  </w:num>
  <w:num w:numId="58">
    <w:abstractNumId w:val="43"/>
  </w:num>
  <w:num w:numId="59">
    <w:abstractNumId w:val="63"/>
  </w:num>
  <w:num w:numId="60">
    <w:abstractNumId w:val="18"/>
  </w:num>
  <w:num w:numId="61">
    <w:abstractNumId w:val="77"/>
  </w:num>
  <w:num w:numId="62">
    <w:abstractNumId w:val="55"/>
  </w:num>
  <w:num w:numId="63">
    <w:abstractNumId w:val="45"/>
  </w:num>
  <w:num w:numId="64">
    <w:abstractNumId w:val="87"/>
  </w:num>
  <w:num w:numId="65">
    <w:abstractNumId w:val="95"/>
  </w:num>
  <w:num w:numId="66">
    <w:abstractNumId w:val="66"/>
  </w:num>
  <w:num w:numId="67">
    <w:abstractNumId w:val="7"/>
  </w:num>
  <w:num w:numId="68">
    <w:abstractNumId w:val="35"/>
  </w:num>
  <w:num w:numId="69">
    <w:abstractNumId w:val="41"/>
  </w:num>
  <w:num w:numId="70">
    <w:abstractNumId w:val="17"/>
  </w:num>
  <w:num w:numId="71">
    <w:abstractNumId w:val="76"/>
  </w:num>
  <w:num w:numId="72">
    <w:abstractNumId w:val="19"/>
  </w:num>
  <w:num w:numId="73">
    <w:abstractNumId w:val="108"/>
  </w:num>
  <w:num w:numId="74">
    <w:abstractNumId w:val="60"/>
  </w:num>
  <w:num w:numId="75">
    <w:abstractNumId w:val="33"/>
  </w:num>
  <w:num w:numId="76">
    <w:abstractNumId w:val="103"/>
  </w:num>
  <w:num w:numId="77">
    <w:abstractNumId w:val="16"/>
  </w:num>
  <w:num w:numId="78">
    <w:abstractNumId w:val="113"/>
  </w:num>
  <w:num w:numId="79">
    <w:abstractNumId w:val="24"/>
  </w:num>
  <w:num w:numId="80">
    <w:abstractNumId w:val="112"/>
  </w:num>
  <w:num w:numId="81">
    <w:abstractNumId w:val="46"/>
  </w:num>
  <w:num w:numId="82">
    <w:abstractNumId w:val="118"/>
  </w:num>
  <w:num w:numId="83">
    <w:abstractNumId w:val="47"/>
  </w:num>
  <w:num w:numId="84">
    <w:abstractNumId w:val="31"/>
  </w:num>
  <w:num w:numId="85">
    <w:abstractNumId w:val="100"/>
  </w:num>
  <w:num w:numId="86">
    <w:abstractNumId w:val="64"/>
  </w:num>
  <w:num w:numId="87">
    <w:abstractNumId w:val="11"/>
  </w:num>
  <w:num w:numId="88">
    <w:abstractNumId w:val="34"/>
  </w:num>
  <w:num w:numId="89">
    <w:abstractNumId w:val="26"/>
  </w:num>
  <w:num w:numId="90">
    <w:abstractNumId w:val="81"/>
  </w:num>
  <w:num w:numId="91">
    <w:abstractNumId w:val="62"/>
  </w:num>
  <w:num w:numId="92">
    <w:abstractNumId w:val="38"/>
  </w:num>
  <w:num w:numId="93">
    <w:abstractNumId w:val="12"/>
  </w:num>
  <w:num w:numId="94">
    <w:abstractNumId w:val="4"/>
  </w:num>
  <w:num w:numId="95">
    <w:abstractNumId w:val="109"/>
  </w:num>
  <w:num w:numId="96">
    <w:abstractNumId w:val="15"/>
  </w:num>
  <w:num w:numId="97">
    <w:abstractNumId w:val="50"/>
  </w:num>
  <w:num w:numId="98">
    <w:abstractNumId w:val="90"/>
  </w:num>
  <w:num w:numId="99">
    <w:abstractNumId w:val="86"/>
  </w:num>
  <w:num w:numId="100">
    <w:abstractNumId w:val="48"/>
  </w:num>
  <w:num w:numId="101">
    <w:abstractNumId w:val="93"/>
  </w:num>
  <w:num w:numId="102">
    <w:abstractNumId w:val="70"/>
  </w:num>
  <w:num w:numId="103">
    <w:abstractNumId w:val="119"/>
  </w:num>
  <w:num w:numId="104">
    <w:abstractNumId w:val="104"/>
  </w:num>
  <w:num w:numId="105">
    <w:abstractNumId w:val="27"/>
  </w:num>
  <w:num w:numId="106">
    <w:abstractNumId w:val="32"/>
  </w:num>
  <w:num w:numId="107">
    <w:abstractNumId w:val="25"/>
  </w:num>
  <w:num w:numId="108">
    <w:abstractNumId w:val="5"/>
  </w:num>
  <w:num w:numId="109">
    <w:abstractNumId w:val="115"/>
  </w:num>
  <w:num w:numId="110">
    <w:abstractNumId w:val="84"/>
  </w:num>
  <w:num w:numId="111">
    <w:abstractNumId w:val="2"/>
  </w:num>
  <w:num w:numId="112">
    <w:abstractNumId w:val="85"/>
  </w:num>
  <w:num w:numId="113">
    <w:abstractNumId w:val="73"/>
  </w:num>
  <w:num w:numId="114">
    <w:abstractNumId w:val="101"/>
  </w:num>
  <w:num w:numId="115">
    <w:abstractNumId w:val="20"/>
  </w:num>
  <w:num w:numId="116">
    <w:abstractNumId w:val="91"/>
  </w:num>
  <w:num w:numId="117">
    <w:abstractNumId w:val="14"/>
  </w:num>
  <w:num w:numId="118">
    <w:abstractNumId w:val="13"/>
  </w:num>
  <w:num w:numId="119">
    <w:abstractNumId w:val="68"/>
  </w:num>
  <w:num w:numId="120">
    <w:abstractNumId w:val="67"/>
  </w:num>
  <w:num w:numId="121">
    <w:abstractNumId w:val="114"/>
  </w:num>
  <w:num w:numId="122">
    <w:abstractNumId w:val="65"/>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27E6"/>
    <w:rsid w:val="00062854"/>
    <w:rsid w:val="00062F88"/>
    <w:rsid w:val="00063A25"/>
    <w:rsid w:val="00063DFD"/>
    <w:rsid w:val="000643D3"/>
    <w:rsid w:val="000647EC"/>
    <w:rsid w:val="00064894"/>
    <w:rsid w:val="00064DDF"/>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5FD"/>
    <w:rsid w:val="00073791"/>
    <w:rsid w:val="000743C8"/>
    <w:rsid w:val="00074543"/>
    <w:rsid w:val="0007494C"/>
    <w:rsid w:val="00074D2F"/>
    <w:rsid w:val="00074E7D"/>
    <w:rsid w:val="000751E9"/>
    <w:rsid w:val="000754B9"/>
    <w:rsid w:val="0007555C"/>
    <w:rsid w:val="00075C1E"/>
    <w:rsid w:val="00076EC0"/>
    <w:rsid w:val="000777A9"/>
    <w:rsid w:val="00077FB0"/>
    <w:rsid w:val="0008051F"/>
    <w:rsid w:val="00080933"/>
    <w:rsid w:val="00080E75"/>
    <w:rsid w:val="000818F8"/>
    <w:rsid w:val="00081B61"/>
    <w:rsid w:val="00081D9F"/>
    <w:rsid w:val="00081FC1"/>
    <w:rsid w:val="000822CA"/>
    <w:rsid w:val="000824D7"/>
    <w:rsid w:val="00082BA9"/>
    <w:rsid w:val="00083000"/>
    <w:rsid w:val="00083192"/>
    <w:rsid w:val="000834A4"/>
    <w:rsid w:val="00083C26"/>
    <w:rsid w:val="0008428B"/>
    <w:rsid w:val="00084575"/>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7054"/>
    <w:rsid w:val="000970B7"/>
    <w:rsid w:val="00097124"/>
    <w:rsid w:val="00097AE7"/>
    <w:rsid w:val="000A1906"/>
    <w:rsid w:val="000A25AE"/>
    <w:rsid w:val="000A2AD4"/>
    <w:rsid w:val="000A3642"/>
    <w:rsid w:val="000A3690"/>
    <w:rsid w:val="000A3ABA"/>
    <w:rsid w:val="000A3DD4"/>
    <w:rsid w:val="000A3EA9"/>
    <w:rsid w:val="000A3F94"/>
    <w:rsid w:val="000A44EA"/>
    <w:rsid w:val="000A48D2"/>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7CC"/>
    <w:rsid w:val="000B4C3F"/>
    <w:rsid w:val="000B520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448"/>
    <w:rsid w:val="000E7465"/>
    <w:rsid w:val="000E7A01"/>
    <w:rsid w:val="000E7C3B"/>
    <w:rsid w:val="000F029A"/>
    <w:rsid w:val="000F0479"/>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733"/>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3B4"/>
    <w:rsid w:val="001A3801"/>
    <w:rsid w:val="001A3939"/>
    <w:rsid w:val="001A397C"/>
    <w:rsid w:val="001A3AD2"/>
    <w:rsid w:val="001A411A"/>
    <w:rsid w:val="001A429C"/>
    <w:rsid w:val="001A4B95"/>
    <w:rsid w:val="001A4E24"/>
    <w:rsid w:val="001A4FE8"/>
    <w:rsid w:val="001A5528"/>
    <w:rsid w:val="001A58B7"/>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68A3"/>
    <w:rsid w:val="001C6962"/>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B91"/>
    <w:rsid w:val="001F7F84"/>
    <w:rsid w:val="00200264"/>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884"/>
    <w:rsid w:val="00222952"/>
    <w:rsid w:val="00223438"/>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B54"/>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1D57"/>
    <w:rsid w:val="002E20FE"/>
    <w:rsid w:val="002E2446"/>
    <w:rsid w:val="002E2481"/>
    <w:rsid w:val="002E278D"/>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17"/>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5685"/>
    <w:rsid w:val="00335968"/>
    <w:rsid w:val="0033601B"/>
    <w:rsid w:val="0033642D"/>
    <w:rsid w:val="003371D6"/>
    <w:rsid w:val="003375AB"/>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4B43"/>
    <w:rsid w:val="003A5868"/>
    <w:rsid w:val="003A6390"/>
    <w:rsid w:val="003A7345"/>
    <w:rsid w:val="003A7DC4"/>
    <w:rsid w:val="003B02BE"/>
    <w:rsid w:val="003B0429"/>
    <w:rsid w:val="003B054B"/>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246A"/>
    <w:rsid w:val="004025BA"/>
    <w:rsid w:val="00402DEA"/>
    <w:rsid w:val="0040309B"/>
    <w:rsid w:val="004036F6"/>
    <w:rsid w:val="00403E06"/>
    <w:rsid w:val="00403E86"/>
    <w:rsid w:val="00403F3B"/>
    <w:rsid w:val="004040B0"/>
    <w:rsid w:val="00404A2A"/>
    <w:rsid w:val="00404BD0"/>
    <w:rsid w:val="00405978"/>
    <w:rsid w:val="00405A32"/>
    <w:rsid w:val="00405EED"/>
    <w:rsid w:val="00406757"/>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B5B"/>
    <w:rsid w:val="004206D2"/>
    <w:rsid w:val="00420F96"/>
    <w:rsid w:val="0042148A"/>
    <w:rsid w:val="00421D77"/>
    <w:rsid w:val="00421DB4"/>
    <w:rsid w:val="004221C7"/>
    <w:rsid w:val="00422ECD"/>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53A4"/>
    <w:rsid w:val="00465EE5"/>
    <w:rsid w:val="00466405"/>
    <w:rsid w:val="00466A54"/>
    <w:rsid w:val="0046791B"/>
    <w:rsid w:val="00467D01"/>
    <w:rsid w:val="00471968"/>
    <w:rsid w:val="00471EA7"/>
    <w:rsid w:val="00472AF4"/>
    <w:rsid w:val="00472BC4"/>
    <w:rsid w:val="00472C88"/>
    <w:rsid w:val="00472F18"/>
    <w:rsid w:val="004739EF"/>
    <w:rsid w:val="00473C8F"/>
    <w:rsid w:val="00474527"/>
    <w:rsid w:val="004745AF"/>
    <w:rsid w:val="004747D4"/>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7E0F"/>
    <w:rsid w:val="00520A16"/>
    <w:rsid w:val="00521CFB"/>
    <w:rsid w:val="0052260B"/>
    <w:rsid w:val="005229BB"/>
    <w:rsid w:val="00523433"/>
    <w:rsid w:val="005234CC"/>
    <w:rsid w:val="00523595"/>
    <w:rsid w:val="005238C1"/>
    <w:rsid w:val="005238D3"/>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D7E"/>
    <w:rsid w:val="00534074"/>
    <w:rsid w:val="00534116"/>
    <w:rsid w:val="00534B87"/>
    <w:rsid w:val="00534E60"/>
    <w:rsid w:val="00536187"/>
    <w:rsid w:val="005374BC"/>
    <w:rsid w:val="0054011F"/>
    <w:rsid w:val="00541144"/>
    <w:rsid w:val="005414F9"/>
    <w:rsid w:val="00541821"/>
    <w:rsid w:val="00541C65"/>
    <w:rsid w:val="00541EA6"/>
    <w:rsid w:val="0054244F"/>
    <w:rsid w:val="00542AC3"/>
    <w:rsid w:val="005431F4"/>
    <w:rsid w:val="005431FA"/>
    <w:rsid w:val="005437A9"/>
    <w:rsid w:val="005439A0"/>
    <w:rsid w:val="00543EF9"/>
    <w:rsid w:val="00544DA0"/>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FA"/>
    <w:rsid w:val="00555E6F"/>
    <w:rsid w:val="00556189"/>
    <w:rsid w:val="0055628F"/>
    <w:rsid w:val="005563BC"/>
    <w:rsid w:val="00556C5C"/>
    <w:rsid w:val="00556EBF"/>
    <w:rsid w:val="00557D2C"/>
    <w:rsid w:val="00557F72"/>
    <w:rsid w:val="00560229"/>
    <w:rsid w:val="005602D1"/>
    <w:rsid w:val="00560345"/>
    <w:rsid w:val="005609A6"/>
    <w:rsid w:val="00560AB1"/>
    <w:rsid w:val="00561314"/>
    <w:rsid w:val="00562B26"/>
    <w:rsid w:val="00562E90"/>
    <w:rsid w:val="005631BB"/>
    <w:rsid w:val="00563241"/>
    <w:rsid w:val="00563905"/>
    <w:rsid w:val="005641FB"/>
    <w:rsid w:val="0056520A"/>
    <w:rsid w:val="005652B0"/>
    <w:rsid w:val="005655F8"/>
    <w:rsid w:val="00565CAE"/>
    <w:rsid w:val="00566C38"/>
    <w:rsid w:val="00567ACF"/>
    <w:rsid w:val="00567B0A"/>
    <w:rsid w:val="00567BFD"/>
    <w:rsid w:val="00570775"/>
    <w:rsid w:val="00570A3C"/>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E0"/>
    <w:rsid w:val="00575791"/>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3E66"/>
    <w:rsid w:val="005B4CAD"/>
    <w:rsid w:val="005B4CBA"/>
    <w:rsid w:val="005B4E16"/>
    <w:rsid w:val="005B5500"/>
    <w:rsid w:val="005B57ED"/>
    <w:rsid w:val="005B5A86"/>
    <w:rsid w:val="005B5C10"/>
    <w:rsid w:val="005B63EF"/>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B9B"/>
    <w:rsid w:val="005E02F1"/>
    <w:rsid w:val="005E051A"/>
    <w:rsid w:val="005E1B57"/>
    <w:rsid w:val="005E215D"/>
    <w:rsid w:val="005E3330"/>
    <w:rsid w:val="005E37DE"/>
    <w:rsid w:val="005E421D"/>
    <w:rsid w:val="005E44E8"/>
    <w:rsid w:val="005E4740"/>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CB7"/>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2F2"/>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1E8"/>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FF9"/>
    <w:rsid w:val="00666AC8"/>
    <w:rsid w:val="00667313"/>
    <w:rsid w:val="006678DA"/>
    <w:rsid w:val="00667A53"/>
    <w:rsid w:val="00670284"/>
    <w:rsid w:val="006705A5"/>
    <w:rsid w:val="0067095A"/>
    <w:rsid w:val="0067100F"/>
    <w:rsid w:val="006716B6"/>
    <w:rsid w:val="006719C8"/>
    <w:rsid w:val="0067210F"/>
    <w:rsid w:val="00672FF6"/>
    <w:rsid w:val="00673478"/>
    <w:rsid w:val="006739C3"/>
    <w:rsid w:val="00673AFE"/>
    <w:rsid w:val="0067438F"/>
    <w:rsid w:val="00674670"/>
    <w:rsid w:val="00674BCE"/>
    <w:rsid w:val="00674FB6"/>
    <w:rsid w:val="00675571"/>
    <w:rsid w:val="00676BDC"/>
    <w:rsid w:val="00676C50"/>
    <w:rsid w:val="00676D26"/>
    <w:rsid w:val="00676E31"/>
    <w:rsid w:val="00676F77"/>
    <w:rsid w:val="006770B3"/>
    <w:rsid w:val="0067737B"/>
    <w:rsid w:val="00680C8B"/>
    <w:rsid w:val="00680D0B"/>
    <w:rsid w:val="00680E39"/>
    <w:rsid w:val="00681189"/>
    <w:rsid w:val="0068166A"/>
    <w:rsid w:val="00681BA3"/>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80D"/>
    <w:rsid w:val="006B5CAE"/>
    <w:rsid w:val="006B672E"/>
    <w:rsid w:val="006B7BC3"/>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482A"/>
    <w:rsid w:val="006D4D04"/>
    <w:rsid w:val="006D565B"/>
    <w:rsid w:val="006D6107"/>
    <w:rsid w:val="006D6176"/>
    <w:rsid w:val="006D65D0"/>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63E"/>
    <w:rsid w:val="00771817"/>
    <w:rsid w:val="00771D73"/>
    <w:rsid w:val="00772344"/>
    <w:rsid w:val="007725CE"/>
    <w:rsid w:val="00772F95"/>
    <w:rsid w:val="007738BC"/>
    <w:rsid w:val="00773E5D"/>
    <w:rsid w:val="0077462E"/>
    <w:rsid w:val="00775CFE"/>
    <w:rsid w:val="007763FE"/>
    <w:rsid w:val="007765C4"/>
    <w:rsid w:val="00776697"/>
    <w:rsid w:val="0077771C"/>
    <w:rsid w:val="00777B34"/>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CF8"/>
    <w:rsid w:val="00785D23"/>
    <w:rsid w:val="00786243"/>
    <w:rsid w:val="00786470"/>
    <w:rsid w:val="00786BCD"/>
    <w:rsid w:val="00786C23"/>
    <w:rsid w:val="007870A8"/>
    <w:rsid w:val="007877D4"/>
    <w:rsid w:val="00787DA7"/>
    <w:rsid w:val="00787EEA"/>
    <w:rsid w:val="00787F3A"/>
    <w:rsid w:val="00787FDB"/>
    <w:rsid w:val="007908BD"/>
    <w:rsid w:val="00791153"/>
    <w:rsid w:val="00791328"/>
    <w:rsid w:val="0079172C"/>
    <w:rsid w:val="00791BA8"/>
    <w:rsid w:val="00791EA1"/>
    <w:rsid w:val="0079229B"/>
    <w:rsid w:val="0079357A"/>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6462"/>
    <w:rsid w:val="00836835"/>
    <w:rsid w:val="008368CE"/>
    <w:rsid w:val="00836B04"/>
    <w:rsid w:val="00837135"/>
    <w:rsid w:val="0083730A"/>
    <w:rsid w:val="00837FA0"/>
    <w:rsid w:val="008400AB"/>
    <w:rsid w:val="008404E8"/>
    <w:rsid w:val="008416F1"/>
    <w:rsid w:val="00842275"/>
    <w:rsid w:val="00842524"/>
    <w:rsid w:val="00842A00"/>
    <w:rsid w:val="00842B68"/>
    <w:rsid w:val="00843A9C"/>
    <w:rsid w:val="00843B20"/>
    <w:rsid w:val="0084408F"/>
    <w:rsid w:val="008440AB"/>
    <w:rsid w:val="0084426E"/>
    <w:rsid w:val="0084545B"/>
    <w:rsid w:val="00845789"/>
    <w:rsid w:val="0084578B"/>
    <w:rsid w:val="00846426"/>
    <w:rsid w:val="00846844"/>
    <w:rsid w:val="00847181"/>
    <w:rsid w:val="00847CA7"/>
    <w:rsid w:val="00847D0D"/>
    <w:rsid w:val="00847D5C"/>
    <w:rsid w:val="008502C7"/>
    <w:rsid w:val="008503A8"/>
    <w:rsid w:val="00850EDD"/>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2116"/>
    <w:rsid w:val="008624EB"/>
    <w:rsid w:val="00864433"/>
    <w:rsid w:val="008646BC"/>
    <w:rsid w:val="00864DCA"/>
    <w:rsid w:val="00865414"/>
    <w:rsid w:val="00865602"/>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4D3F"/>
    <w:rsid w:val="00875348"/>
    <w:rsid w:val="008753C6"/>
    <w:rsid w:val="00875421"/>
    <w:rsid w:val="00875A6F"/>
    <w:rsid w:val="00875B8E"/>
    <w:rsid w:val="00875E04"/>
    <w:rsid w:val="00875E6E"/>
    <w:rsid w:val="00876669"/>
    <w:rsid w:val="00876C4A"/>
    <w:rsid w:val="00877020"/>
    <w:rsid w:val="00877323"/>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958"/>
    <w:rsid w:val="008F2E18"/>
    <w:rsid w:val="008F34DC"/>
    <w:rsid w:val="008F3850"/>
    <w:rsid w:val="008F3E50"/>
    <w:rsid w:val="008F4188"/>
    <w:rsid w:val="008F4189"/>
    <w:rsid w:val="008F4C12"/>
    <w:rsid w:val="008F4F7B"/>
    <w:rsid w:val="008F5611"/>
    <w:rsid w:val="008F6AE6"/>
    <w:rsid w:val="008F7E85"/>
    <w:rsid w:val="00900322"/>
    <w:rsid w:val="00900826"/>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9E"/>
    <w:rsid w:val="0093742B"/>
    <w:rsid w:val="00940198"/>
    <w:rsid w:val="0094026B"/>
    <w:rsid w:val="009415FF"/>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8D5"/>
    <w:rsid w:val="009719B7"/>
    <w:rsid w:val="00971D19"/>
    <w:rsid w:val="009722F8"/>
    <w:rsid w:val="00972737"/>
    <w:rsid w:val="00972C0D"/>
    <w:rsid w:val="00972CBE"/>
    <w:rsid w:val="00972CDF"/>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77C"/>
    <w:rsid w:val="00982306"/>
    <w:rsid w:val="00982432"/>
    <w:rsid w:val="0098371C"/>
    <w:rsid w:val="0098465B"/>
    <w:rsid w:val="00984D7B"/>
    <w:rsid w:val="009858D3"/>
    <w:rsid w:val="00985BE6"/>
    <w:rsid w:val="00986274"/>
    <w:rsid w:val="009867C3"/>
    <w:rsid w:val="0098730C"/>
    <w:rsid w:val="009875A5"/>
    <w:rsid w:val="0099057F"/>
    <w:rsid w:val="00990703"/>
    <w:rsid w:val="0099097C"/>
    <w:rsid w:val="00991398"/>
    <w:rsid w:val="00991839"/>
    <w:rsid w:val="00991947"/>
    <w:rsid w:val="00992076"/>
    <w:rsid w:val="0099274A"/>
    <w:rsid w:val="00992765"/>
    <w:rsid w:val="00992BA5"/>
    <w:rsid w:val="00992C96"/>
    <w:rsid w:val="009934FE"/>
    <w:rsid w:val="00993615"/>
    <w:rsid w:val="0099371B"/>
    <w:rsid w:val="00993A6C"/>
    <w:rsid w:val="0099452C"/>
    <w:rsid w:val="00994D51"/>
    <w:rsid w:val="009969EC"/>
    <w:rsid w:val="009974B4"/>
    <w:rsid w:val="00997DF4"/>
    <w:rsid w:val="009A0658"/>
    <w:rsid w:val="009A1F8B"/>
    <w:rsid w:val="009A2054"/>
    <w:rsid w:val="009A27FA"/>
    <w:rsid w:val="009A3B71"/>
    <w:rsid w:val="009A4156"/>
    <w:rsid w:val="009A420D"/>
    <w:rsid w:val="009A4965"/>
    <w:rsid w:val="009A5181"/>
    <w:rsid w:val="009A640F"/>
    <w:rsid w:val="009A70F7"/>
    <w:rsid w:val="009A76D6"/>
    <w:rsid w:val="009A78AB"/>
    <w:rsid w:val="009B046B"/>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60EA"/>
    <w:rsid w:val="009D6587"/>
    <w:rsid w:val="009D685F"/>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FEF"/>
    <w:rsid w:val="00A26186"/>
    <w:rsid w:val="00A269AA"/>
    <w:rsid w:val="00A2742B"/>
    <w:rsid w:val="00A27619"/>
    <w:rsid w:val="00A27620"/>
    <w:rsid w:val="00A27749"/>
    <w:rsid w:val="00A30050"/>
    <w:rsid w:val="00A30418"/>
    <w:rsid w:val="00A309B4"/>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273B"/>
    <w:rsid w:val="00A52A8E"/>
    <w:rsid w:val="00A533A1"/>
    <w:rsid w:val="00A5421C"/>
    <w:rsid w:val="00A54746"/>
    <w:rsid w:val="00A54D62"/>
    <w:rsid w:val="00A54DDD"/>
    <w:rsid w:val="00A553F1"/>
    <w:rsid w:val="00A56D76"/>
    <w:rsid w:val="00A577B4"/>
    <w:rsid w:val="00A57973"/>
    <w:rsid w:val="00A57E12"/>
    <w:rsid w:val="00A6002A"/>
    <w:rsid w:val="00A605CA"/>
    <w:rsid w:val="00A60741"/>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61F"/>
    <w:rsid w:val="00A9671A"/>
    <w:rsid w:val="00A9697E"/>
    <w:rsid w:val="00A96997"/>
    <w:rsid w:val="00A96BE9"/>
    <w:rsid w:val="00A96D1C"/>
    <w:rsid w:val="00A97651"/>
    <w:rsid w:val="00AA01F0"/>
    <w:rsid w:val="00AA0981"/>
    <w:rsid w:val="00AA1060"/>
    <w:rsid w:val="00AA3C9F"/>
    <w:rsid w:val="00AA532A"/>
    <w:rsid w:val="00AA5523"/>
    <w:rsid w:val="00AA5BCC"/>
    <w:rsid w:val="00AA5C33"/>
    <w:rsid w:val="00AA6482"/>
    <w:rsid w:val="00AA6A7C"/>
    <w:rsid w:val="00AA6E55"/>
    <w:rsid w:val="00AB0913"/>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E88"/>
    <w:rsid w:val="00AE3F87"/>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40C8"/>
    <w:rsid w:val="00AF4B3F"/>
    <w:rsid w:val="00AF4E5E"/>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7102"/>
    <w:rsid w:val="00B17D1C"/>
    <w:rsid w:val="00B20289"/>
    <w:rsid w:val="00B2067D"/>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E89"/>
    <w:rsid w:val="00B525F3"/>
    <w:rsid w:val="00B52BB0"/>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7D6"/>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F9"/>
    <w:rsid w:val="00C21C65"/>
    <w:rsid w:val="00C228F8"/>
    <w:rsid w:val="00C23C37"/>
    <w:rsid w:val="00C2412C"/>
    <w:rsid w:val="00C256BE"/>
    <w:rsid w:val="00C2599E"/>
    <w:rsid w:val="00C265FA"/>
    <w:rsid w:val="00C26AFF"/>
    <w:rsid w:val="00C270B2"/>
    <w:rsid w:val="00C276BE"/>
    <w:rsid w:val="00C2776E"/>
    <w:rsid w:val="00C27BA9"/>
    <w:rsid w:val="00C305A5"/>
    <w:rsid w:val="00C30B50"/>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7815"/>
    <w:rsid w:val="00C578E0"/>
    <w:rsid w:val="00C6030F"/>
    <w:rsid w:val="00C6039F"/>
    <w:rsid w:val="00C6051A"/>
    <w:rsid w:val="00C606E2"/>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EF8"/>
    <w:rsid w:val="00C91095"/>
    <w:rsid w:val="00C9151E"/>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1FBE"/>
    <w:rsid w:val="00CE269B"/>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0928"/>
    <w:rsid w:val="00CF18F9"/>
    <w:rsid w:val="00CF23E3"/>
    <w:rsid w:val="00CF2637"/>
    <w:rsid w:val="00CF28F5"/>
    <w:rsid w:val="00CF29BF"/>
    <w:rsid w:val="00CF2D3C"/>
    <w:rsid w:val="00CF2FF4"/>
    <w:rsid w:val="00CF3004"/>
    <w:rsid w:val="00CF30D1"/>
    <w:rsid w:val="00CF3365"/>
    <w:rsid w:val="00CF46E2"/>
    <w:rsid w:val="00CF4C48"/>
    <w:rsid w:val="00CF4C51"/>
    <w:rsid w:val="00CF5DF6"/>
    <w:rsid w:val="00CF7002"/>
    <w:rsid w:val="00CF7163"/>
    <w:rsid w:val="00CF7595"/>
    <w:rsid w:val="00CF7FC1"/>
    <w:rsid w:val="00CF7FE7"/>
    <w:rsid w:val="00D00A53"/>
    <w:rsid w:val="00D00C72"/>
    <w:rsid w:val="00D00FC0"/>
    <w:rsid w:val="00D01064"/>
    <w:rsid w:val="00D01551"/>
    <w:rsid w:val="00D02A8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944"/>
    <w:rsid w:val="00D1329B"/>
    <w:rsid w:val="00D13384"/>
    <w:rsid w:val="00D1430A"/>
    <w:rsid w:val="00D150FE"/>
    <w:rsid w:val="00D15902"/>
    <w:rsid w:val="00D17360"/>
    <w:rsid w:val="00D20978"/>
    <w:rsid w:val="00D20C43"/>
    <w:rsid w:val="00D20FD8"/>
    <w:rsid w:val="00D21209"/>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9DB"/>
    <w:rsid w:val="00D8276A"/>
    <w:rsid w:val="00D829A0"/>
    <w:rsid w:val="00D83B75"/>
    <w:rsid w:val="00D83CFF"/>
    <w:rsid w:val="00D842D8"/>
    <w:rsid w:val="00D84945"/>
    <w:rsid w:val="00D849D1"/>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917"/>
    <w:rsid w:val="00DB5DAC"/>
    <w:rsid w:val="00DB6603"/>
    <w:rsid w:val="00DB69A0"/>
    <w:rsid w:val="00DB6D3E"/>
    <w:rsid w:val="00DB6D48"/>
    <w:rsid w:val="00DB726D"/>
    <w:rsid w:val="00DB7A4A"/>
    <w:rsid w:val="00DC033E"/>
    <w:rsid w:val="00DC221E"/>
    <w:rsid w:val="00DC296E"/>
    <w:rsid w:val="00DC2D9F"/>
    <w:rsid w:val="00DC32AA"/>
    <w:rsid w:val="00DC337F"/>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411A"/>
    <w:rsid w:val="00E14C2C"/>
    <w:rsid w:val="00E16B50"/>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2D8"/>
    <w:rsid w:val="00E447D3"/>
    <w:rsid w:val="00E44A18"/>
    <w:rsid w:val="00E45383"/>
    <w:rsid w:val="00E455E2"/>
    <w:rsid w:val="00E45F35"/>
    <w:rsid w:val="00E46BBE"/>
    <w:rsid w:val="00E4734A"/>
    <w:rsid w:val="00E47923"/>
    <w:rsid w:val="00E47BCB"/>
    <w:rsid w:val="00E50545"/>
    <w:rsid w:val="00E5084E"/>
    <w:rsid w:val="00E50BC9"/>
    <w:rsid w:val="00E5103B"/>
    <w:rsid w:val="00E51F33"/>
    <w:rsid w:val="00E52032"/>
    <w:rsid w:val="00E533C0"/>
    <w:rsid w:val="00E538ED"/>
    <w:rsid w:val="00E5394F"/>
    <w:rsid w:val="00E53FED"/>
    <w:rsid w:val="00E5526B"/>
    <w:rsid w:val="00E55A2F"/>
    <w:rsid w:val="00E55ACE"/>
    <w:rsid w:val="00E55C38"/>
    <w:rsid w:val="00E56C27"/>
    <w:rsid w:val="00E56F7C"/>
    <w:rsid w:val="00E572B1"/>
    <w:rsid w:val="00E575D3"/>
    <w:rsid w:val="00E57ECE"/>
    <w:rsid w:val="00E60279"/>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7279"/>
    <w:rsid w:val="00E8739A"/>
    <w:rsid w:val="00E900CE"/>
    <w:rsid w:val="00E90488"/>
    <w:rsid w:val="00E907BE"/>
    <w:rsid w:val="00E911B7"/>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B17"/>
    <w:rsid w:val="00ED34A9"/>
    <w:rsid w:val="00ED34C0"/>
    <w:rsid w:val="00ED39F8"/>
    <w:rsid w:val="00ED3C74"/>
    <w:rsid w:val="00ED3F2B"/>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F00653"/>
    <w:rsid w:val="00F00A2A"/>
    <w:rsid w:val="00F01B47"/>
    <w:rsid w:val="00F01E96"/>
    <w:rsid w:val="00F01EF9"/>
    <w:rsid w:val="00F0254C"/>
    <w:rsid w:val="00F02928"/>
    <w:rsid w:val="00F02967"/>
    <w:rsid w:val="00F02E65"/>
    <w:rsid w:val="00F02F62"/>
    <w:rsid w:val="00F03AC4"/>
    <w:rsid w:val="00F0558E"/>
    <w:rsid w:val="00F06354"/>
    <w:rsid w:val="00F066DC"/>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16B4"/>
    <w:rsid w:val="00F32302"/>
    <w:rsid w:val="00F33BC6"/>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5FD"/>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E12"/>
    <w:rsid w:val="00F642F2"/>
    <w:rsid w:val="00F64F56"/>
    <w:rsid w:val="00F651CD"/>
    <w:rsid w:val="00F659B0"/>
    <w:rsid w:val="00F65A07"/>
    <w:rsid w:val="00F65BCE"/>
    <w:rsid w:val="00F662AB"/>
    <w:rsid w:val="00F66465"/>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3EE3"/>
    <w:rsid w:val="00F84A33"/>
    <w:rsid w:val="00F85309"/>
    <w:rsid w:val="00F8595D"/>
    <w:rsid w:val="00F85A01"/>
    <w:rsid w:val="00F85BD5"/>
    <w:rsid w:val="00F85DDA"/>
    <w:rsid w:val="00F864B6"/>
    <w:rsid w:val="00F86A2B"/>
    <w:rsid w:val="00F86CC8"/>
    <w:rsid w:val="00F86DFA"/>
    <w:rsid w:val="00F87512"/>
    <w:rsid w:val="00F877F0"/>
    <w:rsid w:val="00F909D6"/>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41B7"/>
    <w:rsid w:val="00FC4322"/>
    <w:rsid w:val="00FC4C02"/>
    <w:rsid w:val="00FC4DC2"/>
    <w:rsid w:val="00FC5128"/>
    <w:rsid w:val="00FC5A9D"/>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E024C"/>
    <w:rsid w:val="00FE07E4"/>
    <w:rsid w:val="00FE0EAA"/>
    <w:rsid w:val="00FE156B"/>
    <w:rsid w:val="00FE2536"/>
    <w:rsid w:val="00FE2865"/>
    <w:rsid w:val="00FE343F"/>
    <w:rsid w:val="00FE3D56"/>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0"/>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4"/>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102"/>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102"/>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102"/>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102"/>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102"/>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minv.sk/?usmernenia-riadiaceho-organu"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mailto:vo.sep@minv.sk"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590CB6CD-98D0-42EE-8D7B-6DFE677A7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138</Pages>
  <Words>69860</Words>
  <Characters>398204</Characters>
  <Application>Microsoft Office Word</Application>
  <DocSecurity>0</DocSecurity>
  <Lines>3318</Lines>
  <Paragraphs>934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467130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2017-05-17T13:46:00Z</dcterms:created>
  <dcterms:modified xsi:type="dcterms:W3CDTF">2017-06-07T11:58:00Z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